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AF0" w:rsidRDefault="00B71AF0" w:rsidP="00B71AF0">
      <w:pPr>
        <w:jc w:val="center"/>
        <w:rPr>
          <w:sz w:val="72"/>
          <w:szCs w:val="72"/>
        </w:rPr>
      </w:pPr>
    </w:p>
    <w:p w:rsidR="00B71AF0" w:rsidRDefault="00552E4C" w:rsidP="00552E4C">
      <w:pPr>
        <w:tabs>
          <w:tab w:val="left" w:pos="7500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B71AF0" w:rsidRDefault="002F1D0B" w:rsidP="002F1D0B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es-MX"/>
        </w:rPr>
        <w:drawing>
          <wp:inline distT="0" distB="0" distL="0" distR="0" wp14:anchorId="0A7D59AD" wp14:editId="05E5EB83">
            <wp:extent cx="2431894" cy="1226404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cip 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964" cy="122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AF0" w:rsidRDefault="00B71AF0" w:rsidP="00B71AF0">
      <w:pPr>
        <w:rPr>
          <w:sz w:val="72"/>
          <w:szCs w:val="72"/>
        </w:rPr>
      </w:pPr>
    </w:p>
    <w:p w:rsidR="00B71AF0" w:rsidRDefault="00B71AF0" w:rsidP="00B71AF0">
      <w:pPr>
        <w:rPr>
          <w:sz w:val="72"/>
          <w:szCs w:val="72"/>
        </w:rPr>
      </w:pPr>
    </w:p>
    <w:p w:rsidR="00F853DC" w:rsidRPr="00B71AF0" w:rsidRDefault="00B71AF0" w:rsidP="00B71AF0">
      <w:pPr>
        <w:jc w:val="center"/>
        <w:rPr>
          <w:sz w:val="72"/>
          <w:szCs w:val="72"/>
        </w:rPr>
      </w:pPr>
      <w:r w:rsidRPr="00B71AF0">
        <w:rPr>
          <w:sz w:val="72"/>
          <w:szCs w:val="72"/>
        </w:rPr>
        <w:t>Plan Anual</w:t>
      </w:r>
      <w:r w:rsidR="0062535C">
        <w:rPr>
          <w:sz w:val="72"/>
          <w:szCs w:val="72"/>
        </w:rPr>
        <w:t xml:space="preserve"> de Desarrollo Archivístico 201</w:t>
      </w:r>
      <w:r w:rsidR="00037B42">
        <w:rPr>
          <w:sz w:val="72"/>
          <w:szCs w:val="72"/>
        </w:rPr>
        <w:t>9</w:t>
      </w:r>
    </w:p>
    <w:p w:rsidR="00B71AF0" w:rsidRDefault="00B71AF0"/>
    <w:p w:rsidR="00B71AF0" w:rsidRDefault="00B71AF0"/>
    <w:p w:rsidR="00B71AF0" w:rsidRDefault="00B71AF0"/>
    <w:p w:rsidR="00B71AF0" w:rsidRDefault="00B71AF0"/>
    <w:p w:rsidR="00B71AF0" w:rsidRDefault="00B71AF0"/>
    <w:p w:rsidR="00B71AF0" w:rsidRPr="00A553BC" w:rsidRDefault="008E1631">
      <w:pPr>
        <w:rPr>
          <w:b/>
        </w:rPr>
      </w:pPr>
      <w:r w:rsidRPr="00A553BC">
        <w:rPr>
          <w:b/>
        </w:rPr>
        <w:t>Elaboró</w:t>
      </w:r>
      <w:r w:rsidRPr="00A553BC">
        <w:rPr>
          <w:b/>
        </w:rPr>
        <w:tab/>
        <w:t>:</w:t>
      </w:r>
      <w:r w:rsidRPr="00A553BC">
        <w:tab/>
      </w:r>
      <w:r w:rsidRPr="00A553BC">
        <w:tab/>
      </w:r>
      <w:r w:rsidRPr="00A553BC">
        <w:tab/>
      </w:r>
      <w:r w:rsidRPr="00A553BC">
        <w:tab/>
      </w:r>
      <w:r w:rsidRPr="00A553BC">
        <w:tab/>
      </w:r>
      <w:r w:rsidRPr="00A553BC">
        <w:tab/>
      </w:r>
      <w:r w:rsidRPr="00A553BC">
        <w:tab/>
      </w:r>
      <w:r w:rsidRPr="00A553BC">
        <w:tab/>
      </w:r>
      <w:r w:rsidRPr="00A553BC">
        <w:tab/>
      </w:r>
      <w:r w:rsidRPr="00A553BC">
        <w:rPr>
          <w:b/>
        </w:rPr>
        <w:t>Fecha:</w:t>
      </w:r>
    </w:p>
    <w:p w:rsidR="008E1631" w:rsidRPr="008E1631" w:rsidRDefault="008E1631">
      <w:r w:rsidRPr="00A553BC">
        <w:rPr>
          <w:i/>
        </w:rPr>
        <w:t>Dirección de Archivonomía</w:t>
      </w:r>
      <w:r w:rsidRPr="00A553BC">
        <w:rPr>
          <w:i/>
        </w:rPr>
        <w:tab/>
      </w:r>
      <w:r w:rsidRPr="00A553BC">
        <w:rPr>
          <w:i/>
        </w:rPr>
        <w:tab/>
      </w:r>
      <w:r w:rsidRPr="00A553BC">
        <w:rPr>
          <w:i/>
        </w:rPr>
        <w:tab/>
      </w:r>
      <w:r w:rsidRPr="00A553BC">
        <w:rPr>
          <w:i/>
        </w:rPr>
        <w:tab/>
      </w:r>
      <w:r w:rsidRPr="00A553BC">
        <w:rPr>
          <w:i/>
        </w:rPr>
        <w:tab/>
      </w:r>
      <w:r w:rsidRPr="00A553BC">
        <w:rPr>
          <w:i/>
        </w:rPr>
        <w:tab/>
      </w:r>
      <w:r w:rsidRPr="00A553BC">
        <w:rPr>
          <w:i/>
        </w:rPr>
        <w:tab/>
      </w:r>
      <w:r w:rsidR="0062535C" w:rsidRPr="00A553BC">
        <w:t>15 enero 201</w:t>
      </w:r>
      <w:r w:rsidR="00A41C95" w:rsidRPr="00A553BC">
        <w:t>9</w:t>
      </w:r>
    </w:p>
    <w:p w:rsidR="00B71AF0" w:rsidRDefault="00B71AF0"/>
    <w:p w:rsidR="00B71AF0" w:rsidRDefault="00B71AF0"/>
    <w:p w:rsidR="00B71AF0" w:rsidRDefault="00B71AF0"/>
    <w:p w:rsidR="00525811" w:rsidRDefault="00525811"/>
    <w:p w:rsidR="008E1631" w:rsidRPr="008E1631" w:rsidRDefault="008E1631" w:rsidP="008E1631">
      <w:pPr>
        <w:jc w:val="center"/>
        <w:rPr>
          <w:rFonts w:ascii="Arial" w:hAnsi="Arial" w:cs="Arial"/>
          <w:sz w:val="24"/>
          <w:szCs w:val="24"/>
        </w:rPr>
      </w:pPr>
      <w:r w:rsidRPr="008E1631">
        <w:rPr>
          <w:rFonts w:ascii="Arial" w:hAnsi="Arial" w:cs="Arial"/>
          <w:sz w:val="24"/>
          <w:szCs w:val="24"/>
        </w:rPr>
        <w:t>Plan Anual</w:t>
      </w:r>
      <w:r w:rsidR="00C4486A">
        <w:rPr>
          <w:rFonts w:ascii="Arial" w:hAnsi="Arial" w:cs="Arial"/>
          <w:sz w:val="24"/>
          <w:szCs w:val="24"/>
        </w:rPr>
        <w:t xml:space="preserve"> de Desarrollo Archivístico 201</w:t>
      </w:r>
      <w:r w:rsidR="00037B42">
        <w:rPr>
          <w:rFonts w:ascii="Arial" w:hAnsi="Arial" w:cs="Arial"/>
          <w:sz w:val="24"/>
          <w:szCs w:val="24"/>
        </w:rPr>
        <w:t>9</w:t>
      </w:r>
    </w:p>
    <w:p w:rsidR="00B71AF0" w:rsidRDefault="00B71AF0"/>
    <w:p w:rsidR="003D4F67" w:rsidRPr="00534336" w:rsidRDefault="00041F42" w:rsidP="0053433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34336">
        <w:rPr>
          <w:rFonts w:ascii="Arial" w:hAnsi="Arial" w:cs="Arial"/>
          <w:b/>
          <w:sz w:val="24"/>
          <w:szCs w:val="24"/>
        </w:rPr>
        <w:t>Presentación:</w:t>
      </w:r>
    </w:p>
    <w:p w:rsidR="00041F42" w:rsidRDefault="00041F42" w:rsidP="00C32F3A">
      <w:pPr>
        <w:jc w:val="both"/>
        <w:rPr>
          <w:rFonts w:ascii="Arial" w:hAnsi="Arial" w:cs="Arial"/>
          <w:sz w:val="24"/>
          <w:szCs w:val="24"/>
        </w:rPr>
      </w:pPr>
      <w:r w:rsidRPr="00A63F77">
        <w:rPr>
          <w:rFonts w:ascii="Arial" w:hAnsi="Arial" w:cs="Arial"/>
          <w:sz w:val="24"/>
          <w:szCs w:val="24"/>
        </w:rPr>
        <w:t>Con fundamento en</w:t>
      </w:r>
      <w:r w:rsidR="00772FB0">
        <w:rPr>
          <w:rFonts w:ascii="Arial" w:hAnsi="Arial" w:cs="Arial"/>
          <w:sz w:val="24"/>
          <w:szCs w:val="24"/>
        </w:rPr>
        <w:t xml:space="preserve"> lo dispuesto en el artículo 12</w:t>
      </w:r>
      <w:r w:rsidR="005347EC">
        <w:rPr>
          <w:rFonts w:ascii="Arial" w:hAnsi="Arial" w:cs="Arial"/>
          <w:sz w:val="24"/>
          <w:szCs w:val="24"/>
        </w:rPr>
        <w:t xml:space="preserve">, </w:t>
      </w:r>
      <w:r w:rsidRPr="00A63F77">
        <w:rPr>
          <w:rFonts w:ascii="Arial" w:hAnsi="Arial" w:cs="Arial"/>
          <w:sz w:val="24"/>
          <w:szCs w:val="24"/>
        </w:rPr>
        <w:t xml:space="preserve">fracciones I y VI de la Ley Federal de Archivos </w:t>
      </w:r>
      <w:r w:rsidR="00C32F3A" w:rsidRPr="00A63F77">
        <w:rPr>
          <w:rFonts w:ascii="Arial" w:hAnsi="Arial" w:cs="Arial"/>
          <w:sz w:val="24"/>
          <w:szCs w:val="24"/>
        </w:rPr>
        <w:t>y el a</w:t>
      </w:r>
      <w:r w:rsidR="00772FB0">
        <w:rPr>
          <w:rFonts w:ascii="Arial" w:hAnsi="Arial" w:cs="Arial"/>
          <w:sz w:val="24"/>
          <w:szCs w:val="24"/>
        </w:rPr>
        <w:t>rtículo 6º de los Lineamientos para la Organización y Conservación de A</w:t>
      </w:r>
      <w:r w:rsidRPr="00A63F77">
        <w:rPr>
          <w:rFonts w:ascii="Arial" w:hAnsi="Arial" w:cs="Arial"/>
          <w:sz w:val="24"/>
          <w:szCs w:val="24"/>
        </w:rPr>
        <w:t xml:space="preserve">rchivos publicados en el Diario Oficial de la Federación el 4 de mayo de 2016 </w:t>
      </w:r>
      <w:r w:rsidR="00772FB0">
        <w:rPr>
          <w:rFonts w:ascii="Arial" w:hAnsi="Arial" w:cs="Arial"/>
          <w:sz w:val="24"/>
          <w:szCs w:val="24"/>
        </w:rPr>
        <w:t>se elabora</w:t>
      </w:r>
      <w:r w:rsidR="00C32F3A" w:rsidRPr="00A63F77">
        <w:rPr>
          <w:rFonts w:ascii="Arial" w:hAnsi="Arial" w:cs="Arial"/>
          <w:sz w:val="24"/>
          <w:szCs w:val="24"/>
        </w:rPr>
        <w:t xml:space="preserve"> el Plan Anual de Desarrollo Archivístico (PADA) </w:t>
      </w:r>
      <w:r w:rsidR="008148C2" w:rsidRPr="00A63F77">
        <w:rPr>
          <w:rFonts w:ascii="Arial" w:hAnsi="Arial" w:cs="Arial"/>
          <w:sz w:val="24"/>
          <w:szCs w:val="24"/>
        </w:rPr>
        <w:t xml:space="preserve">para el año </w:t>
      </w:r>
      <w:r w:rsidR="00D8279E">
        <w:rPr>
          <w:rFonts w:ascii="Arial" w:hAnsi="Arial" w:cs="Arial"/>
          <w:sz w:val="24"/>
          <w:szCs w:val="24"/>
        </w:rPr>
        <w:t>201</w:t>
      </w:r>
      <w:r w:rsidR="0079009D">
        <w:rPr>
          <w:rFonts w:ascii="Arial" w:hAnsi="Arial" w:cs="Arial"/>
          <w:sz w:val="24"/>
          <w:szCs w:val="24"/>
        </w:rPr>
        <w:t>9</w:t>
      </w:r>
      <w:r w:rsidR="00C32F3A" w:rsidRPr="00A63F77">
        <w:rPr>
          <w:rFonts w:ascii="Arial" w:hAnsi="Arial" w:cs="Arial"/>
          <w:sz w:val="24"/>
          <w:szCs w:val="24"/>
        </w:rPr>
        <w:t xml:space="preserve"> que establece las acciones a emprender para el mejoramiento continuo de los servicios documentales del I</w:t>
      </w:r>
      <w:r w:rsidR="005347EC">
        <w:rPr>
          <w:rFonts w:ascii="Arial" w:hAnsi="Arial" w:cs="Arial"/>
          <w:sz w:val="24"/>
          <w:szCs w:val="24"/>
        </w:rPr>
        <w:t>nstituto de Acceso a la Información Pública para el Estado de Guanajuato (</w:t>
      </w:r>
      <w:proofErr w:type="spellStart"/>
      <w:r w:rsidR="005347EC">
        <w:rPr>
          <w:rFonts w:ascii="Arial" w:hAnsi="Arial" w:cs="Arial"/>
          <w:sz w:val="24"/>
          <w:szCs w:val="24"/>
        </w:rPr>
        <w:t>I</w:t>
      </w:r>
      <w:r w:rsidR="00C32F3A" w:rsidRPr="00A63F77">
        <w:rPr>
          <w:rFonts w:ascii="Arial" w:hAnsi="Arial" w:cs="Arial"/>
          <w:sz w:val="24"/>
          <w:szCs w:val="24"/>
        </w:rPr>
        <w:t>ACIP</w:t>
      </w:r>
      <w:proofErr w:type="spellEnd"/>
      <w:r w:rsidR="005347EC">
        <w:rPr>
          <w:rFonts w:ascii="Arial" w:hAnsi="Arial" w:cs="Arial"/>
          <w:sz w:val="24"/>
          <w:szCs w:val="24"/>
        </w:rPr>
        <w:t>)</w:t>
      </w:r>
      <w:r w:rsidR="00C32F3A" w:rsidRPr="00A63F77">
        <w:rPr>
          <w:rFonts w:ascii="Arial" w:hAnsi="Arial" w:cs="Arial"/>
          <w:sz w:val="24"/>
          <w:szCs w:val="24"/>
        </w:rPr>
        <w:t>.</w:t>
      </w:r>
    </w:p>
    <w:p w:rsidR="00867EF9" w:rsidRDefault="00867EF9" w:rsidP="00C32F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obligaciones establecidas en materia de Transparencia pretenden también el desarrollo de diversas acciones encaminadas a la mejora continua de los servicios archiv</w:t>
      </w:r>
      <w:r w:rsidR="00C42589">
        <w:rPr>
          <w:rFonts w:ascii="Arial" w:hAnsi="Arial" w:cs="Arial"/>
          <w:sz w:val="24"/>
          <w:szCs w:val="24"/>
        </w:rPr>
        <w:t xml:space="preserve">ísticos y además hacerlas públicas al presentarlas en nuestro Portal de Internet resumidas en este PADA. </w:t>
      </w:r>
    </w:p>
    <w:p w:rsidR="005347EC" w:rsidRPr="00041F42" w:rsidRDefault="005347EC" w:rsidP="00C32F3A">
      <w:pPr>
        <w:jc w:val="both"/>
        <w:rPr>
          <w:rFonts w:ascii="Arial" w:hAnsi="Arial" w:cs="Arial"/>
          <w:sz w:val="24"/>
          <w:szCs w:val="24"/>
        </w:rPr>
      </w:pPr>
    </w:p>
    <w:p w:rsidR="003D4F67" w:rsidRDefault="003D4F67"/>
    <w:p w:rsidR="00B71AF0" w:rsidRPr="00534336" w:rsidRDefault="00B71AF0" w:rsidP="0053433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534336">
        <w:rPr>
          <w:rFonts w:ascii="Arial" w:hAnsi="Arial" w:cs="Arial"/>
          <w:b/>
          <w:sz w:val="24"/>
          <w:szCs w:val="24"/>
        </w:rPr>
        <w:t>Objetivo:</w:t>
      </w:r>
    </w:p>
    <w:p w:rsidR="00B71AF0" w:rsidRPr="00746C25" w:rsidRDefault="00C32F3A" w:rsidP="002F1D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PADA</w:t>
      </w:r>
      <w:r w:rsidR="00C4486A">
        <w:rPr>
          <w:rFonts w:ascii="Arial" w:hAnsi="Arial" w:cs="Arial"/>
          <w:sz w:val="24"/>
          <w:szCs w:val="24"/>
        </w:rPr>
        <w:t xml:space="preserve"> 201</w:t>
      </w:r>
      <w:r w:rsidR="008952D0">
        <w:rPr>
          <w:rFonts w:ascii="Arial" w:hAnsi="Arial" w:cs="Arial"/>
          <w:sz w:val="24"/>
          <w:szCs w:val="24"/>
        </w:rPr>
        <w:t>9</w:t>
      </w:r>
      <w:r w:rsidR="00B71AF0" w:rsidRPr="00746C25">
        <w:rPr>
          <w:rFonts w:ascii="Arial" w:hAnsi="Arial" w:cs="Arial"/>
          <w:sz w:val="24"/>
          <w:szCs w:val="24"/>
        </w:rPr>
        <w:t xml:space="preserve"> se elabora </w:t>
      </w:r>
      <w:r w:rsidR="003D4F67" w:rsidRPr="00746C25">
        <w:rPr>
          <w:rFonts w:ascii="Arial" w:hAnsi="Arial" w:cs="Arial"/>
          <w:sz w:val="24"/>
          <w:szCs w:val="24"/>
        </w:rPr>
        <w:t>con la finalidad de orientar las actividades a realizar en materia a</w:t>
      </w:r>
      <w:r w:rsidR="005347EC">
        <w:rPr>
          <w:rFonts w:ascii="Arial" w:hAnsi="Arial" w:cs="Arial"/>
          <w:sz w:val="24"/>
          <w:szCs w:val="24"/>
        </w:rPr>
        <w:t xml:space="preserve">rchivística dentro del </w:t>
      </w:r>
      <w:proofErr w:type="spellStart"/>
      <w:r w:rsidR="005347EC">
        <w:rPr>
          <w:rFonts w:ascii="Arial" w:hAnsi="Arial" w:cs="Arial"/>
          <w:sz w:val="24"/>
          <w:szCs w:val="24"/>
        </w:rPr>
        <w:t>IACIP</w:t>
      </w:r>
      <w:proofErr w:type="spellEnd"/>
      <w:r w:rsidR="003D4F67" w:rsidRPr="00746C25">
        <w:rPr>
          <w:rFonts w:ascii="Arial" w:hAnsi="Arial" w:cs="Arial"/>
          <w:sz w:val="24"/>
          <w:szCs w:val="24"/>
        </w:rPr>
        <w:t xml:space="preserve"> y dar segui</w:t>
      </w:r>
      <w:r w:rsidR="00B26E85">
        <w:rPr>
          <w:rFonts w:ascii="Arial" w:hAnsi="Arial" w:cs="Arial"/>
          <w:sz w:val="24"/>
          <w:szCs w:val="24"/>
        </w:rPr>
        <w:t>miento</w:t>
      </w:r>
      <w:r w:rsidR="00B74120">
        <w:rPr>
          <w:rFonts w:ascii="Arial" w:hAnsi="Arial" w:cs="Arial"/>
          <w:sz w:val="24"/>
          <w:szCs w:val="24"/>
        </w:rPr>
        <w:t xml:space="preserve"> a la implementación del S</w:t>
      </w:r>
      <w:r w:rsidR="003D4F67" w:rsidRPr="00746C25">
        <w:rPr>
          <w:rFonts w:ascii="Arial" w:hAnsi="Arial" w:cs="Arial"/>
          <w:sz w:val="24"/>
          <w:szCs w:val="24"/>
        </w:rPr>
        <w:t xml:space="preserve">istema </w:t>
      </w:r>
      <w:r w:rsidR="00B74120">
        <w:rPr>
          <w:rFonts w:ascii="Arial" w:hAnsi="Arial" w:cs="Arial"/>
          <w:sz w:val="24"/>
          <w:szCs w:val="24"/>
        </w:rPr>
        <w:t>I</w:t>
      </w:r>
      <w:r w:rsidR="003D4F67" w:rsidRPr="00746C25">
        <w:rPr>
          <w:rFonts w:ascii="Arial" w:hAnsi="Arial" w:cs="Arial"/>
          <w:sz w:val="24"/>
          <w:szCs w:val="24"/>
        </w:rPr>
        <w:t>nstituci</w:t>
      </w:r>
      <w:r w:rsidR="00B74120">
        <w:rPr>
          <w:rFonts w:ascii="Arial" w:hAnsi="Arial" w:cs="Arial"/>
          <w:sz w:val="24"/>
          <w:szCs w:val="24"/>
        </w:rPr>
        <w:t>onal de A</w:t>
      </w:r>
      <w:r w:rsidR="008E4192">
        <w:rPr>
          <w:rFonts w:ascii="Arial" w:hAnsi="Arial" w:cs="Arial"/>
          <w:sz w:val="24"/>
          <w:szCs w:val="24"/>
        </w:rPr>
        <w:t>rchi</w:t>
      </w:r>
      <w:r w:rsidR="00CC0910">
        <w:rPr>
          <w:rFonts w:ascii="Arial" w:hAnsi="Arial" w:cs="Arial"/>
          <w:sz w:val="24"/>
          <w:szCs w:val="24"/>
        </w:rPr>
        <w:t>vos</w:t>
      </w:r>
      <w:r w:rsidR="003D4F67" w:rsidRPr="00746C25">
        <w:rPr>
          <w:rFonts w:ascii="Arial" w:hAnsi="Arial" w:cs="Arial"/>
          <w:sz w:val="24"/>
          <w:szCs w:val="24"/>
        </w:rPr>
        <w:t>.</w:t>
      </w:r>
      <w:r w:rsidR="00746C25" w:rsidRPr="00746C25">
        <w:rPr>
          <w:rFonts w:ascii="Arial" w:hAnsi="Arial" w:cs="Arial"/>
          <w:sz w:val="24"/>
          <w:szCs w:val="24"/>
        </w:rPr>
        <w:t xml:space="preserve"> </w:t>
      </w:r>
    </w:p>
    <w:p w:rsidR="003D4F67" w:rsidRDefault="003D4F67" w:rsidP="002F1D0B">
      <w:pPr>
        <w:spacing w:after="0" w:line="240" w:lineRule="auto"/>
        <w:jc w:val="both"/>
      </w:pPr>
      <w:r w:rsidRPr="003D4F67">
        <w:rPr>
          <w:rFonts w:ascii="Arial" w:hAnsi="Arial" w:cs="Arial"/>
          <w:sz w:val="24"/>
          <w:szCs w:val="24"/>
        </w:rPr>
        <w:t>La ejecución del PADA</w:t>
      </w:r>
      <w:r w:rsidRPr="00746C25">
        <w:rPr>
          <w:rFonts w:ascii="Arial" w:hAnsi="Arial" w:cs="Arial"/>
          <w:sz w:val="24"/>
          <w:szCs w:val="24"/>
        </w:rPr>
        <w:t xml:space="preserve"> </w:t>
      </w:r>
      <w:r w:rsidRPr="003D4F67">
        <w:rPr>
          <w:rFonts w:ascii="Arial" w:hAnsi="Arial" w:cs="Arial"/>
          <w:sz w:val="24"/>
          <w:szCs w:val="24"/>
        </w:rPr>
        <w:t>a través de la actuali</w:t>
      </w:r>
      <w:r w:rsidR="008E4192">
        <w:rPr>
          <w:rFonts w:ascii="Arial" w:hAnsi="Arial" w:cs="Arial"/>
          <w:sz w:val="24"/>
          <w:szCs w:val="24"/>
        </w:rPr>
        <w:t>zación e implementación de los i</w:t>
      </w:r>
      <w:r w:rsidRPr="003D4F67">
        <w:rPr>
          <w:rFonts w:ascii="Arial" w:hAnsi="Arial" w:cs="Arial"/>
          <w:sz w:val="24"/>
          <w:szCs w:val="24"/>
        </w:rPr>
        <w:t xml:space="preserve">nstrumentos de </w:t>
      </w:r>
      <w:r w:rsidR="00C32F3A">
        <w:rPr>
          <w:rFonts w:ascii="Arial" w:hAnsi="Arial" w:cs="Arial"/>
          <w:sz w:val="24"/>
          <w:szCs w:val="24"/>
        </w:rPr>
        <w:t xml:space="preserve">consulta y </w:t>
      </w:r>
      <w:r w:rsidRPr="003D4F67">
        <w:rPr>
          <w:rFonts w:ascii="Arial" w:hAnsi="Arial" w:cs="Arial"/>
          <w:sz w:val="24"/>
          <w:szCs w:val="24"/>
        </w:rPr>
        <w:t xml:space="preserve">control archivístico </w:t>
      </w:r>
      <w:r w:rsidRPr="00746C25">
        <w:rPr>
          <w:rFonts w:ascii="Arial" w:hAnsi="Arial" w:cs="Arial"/>
          <w:sz w:val="24"/>
          <w:szCs w:val="24"/>
        </w:rPr>
        <w:t>garantizarán la</w:t>
      </w:r>
      <w:r w:rsidR="00B74120">
        <w:rPr>
          <w:rFonts w:ascii="Arial" w:hAnsi="Arial" w:cs="Arial"/>
          <w:sz w:val="24"/>
          <w:szCs w:val="24"/>
        </w:rPr>
        <w:t xml:space="preserve"> operación del Sistema Institucional de A</w:t>
      </w:r>
      <w:r w:rsidRPr="003D4F67">
        <w:rPr>
          <w:rFonts w:ascii="Arial" w:hAnsi="Arial" w:cs="Arial"/>
          <w:sz w:val="24"/>
          <w:szCs w:val="24"/>
        </w:rPr>
        <w:t xml:space="preserve">rchivos, lo cual permitirá la conservación de los </w:t>
      </w:r>
      <w:r w:rsidRPr="00746C25">
        <w:rPr>
          <w:rFonts w:ascii="Arial" w:hAnsi="Arial" w:cs="Arial"/>
          <w:sz w:val="24"/>
          <w:szCs w:val="24"/>
        </w:rPr>
        <w:t xml:space="preserve">acervos documentales del </w:t>
      </w:r>
      <w:proofErr w:type="spellStart"/>
      <w:r w:rsidRPr="00746C25">
        <w:rPr>
          <w:rFonts w:ascii="Arial" w:hAnsi="Arial" w:cs="Arial"/>
          <w:sz w:val="24"/>
          <w:szCs w:val="24"/>
        </w:rPr>
        <w:t>IACIP</w:t>
      </w:r>
      <w:proofErr w:type="spellEnd"/>
      <w:r>
        <w:t>.</w:t>
      </w:r>
      <w:r w:rsidR="00524C48">
        <w:t xml:space="preserve"> </w:t>
      </w:r>
    </w:p>
    <w:p w:rsidR="00B10A88" w:rsidRDefault="00B10A88" w:rsidP="002F1D0B">
      <w:pPr>
        <w:spacing w:after="0" w:line="240" w:lineRule="auto"/>
        <w:jc w:val="both"/>
      </w:pPr>
    </w:p>
    <w:p w:rsidR="00B10A88" w:rsidRDefault="00B10A88" w:rsidP="002F1D0B">
      <w:pPr>
        <w:spacing w:after="0" w:line="240" w:lineRule="auto"/>
        <w:jc w:val="both"/>
      </w:pPr>
      <w:r>
        <w:t>Atender el 100% de las</w:t>
      </w:r>
      <w:r w:rsidR="00732F5B">
        <w:t xml:space="preserve"> dudas </w:t>
      </w:r>
      <w:r>
        <w:t xml:space="preserve">solicitudes de asesorías a los responsables y enlaces de archivo en los procesos archivísticos, mediante el acompañamiento personal con visitas a sus archivos de </w:t>
      </w:r>
      <w:r w:rsidR="002F5058">
        <w:t>trámite atención</w:t>
      </w:r>
      <w:r>
        <w:t xml:space="preserve"> telefónica.</w:t>
      </w:r>
    </w:p>
    <w:p w:rsidR="00771608" w:rsidRDefault="00771608" w:rsidP="002F1D0B">
      <w:pPr>
        <w:spacing w:after="0" w:line="240" w:lineRule="auto"/>
        <w:jc w:val="both"/>
      </w:pPr>
    </w:p>
    <w:p w:rsidR="005E0471" w:rsidRDefault="005E0471" w:rsidP="002F1D0B">
      <w:pPr>
        <w:spacing w:after="0" w:line="240" w:lineRule="auto"/>
        <w:jc w:val="both"/>
      </w:pPr>
    </w:p>
    <w:p w:rsidR="00746C25" w:rsidRDefault="00746C25" w:rsidP="002F1D0B">
      <w:pPr>
        <w:spacing w:after="0" w:line="240" w:lineRule="auto"/>
        <w:jc w:val="both"/>
      </w:pPr>
    </w:p>
    <w:p w:rsidR="00CC0910" w:rsidRPr="00654D02" w:rsidRDefault="00C95551" w:rsidP="00BC38D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Sistema Institucional de Archivo</w:t>
      </w:r>
    </w:p>
    <w:p w:rsidR="00BC38DB" w:rsidRDefault="00BC38DB" w:rsidP="00BC38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Sistema Institucional de Archivos es el conjunto de estructuras, funciones, registros, procesos, procedimientos y criterios que desarrolla cada sujeto obligado, a través de la ejecución de la Gestión documental. </w:t>
      </w:r>
    </w:p>
    <w:p w:rsidR="002446CD" w:rsidRDefault="002446CD" w:rsidP="00BC38DB">
      <w:pPr>
        <w:jc w:val="both"/>
        <w:rPr>
          <w:rFonts w:ascii="Arial" w:hAnsi="Arial" w:cs="Arial"/>
          <w:sz w:val="24"/>
          <w:szCs w:val="24"/>
        </w:rPr>
      </w:pPr>
    </w:p>
    <w:p w:rsidR="002446CD" w:rsidRDefault="002446CD" w:rsidP="00BC38DB">
      <w:pPr>
        <w:jc w:val="both"/>
        <w:rPr>
          <w:rFonts w:ascii="Arial" w:hAnsi="Arial" w:cs="Arial"/>
          <w:sz w:val="24"/>
          <w:szCs w:val="24"/>
        </w:rPr>
      </w:pPr>
    </w:p>
    <w:p w:rsidR="00CC0910" w:rsidRDefault="00BC38DB" w:rsidP="00BC38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Sistema Institucional de Archivos del </w:t>
      </w:r>
      <w:proofErr w:type="spellStart"/>
      <w:r>
        <w:rPr>
          <w:rFonts w:ascii="Arial" w:hAnsi="Arial" w:cs="Arial"/>
          <w:sz w:val="24"/>
          <w:szCs w:val="24"/>
        </w:rPr>
        <w:t>IACIP</w:t>
      </w:r>
      <w:proofErr w:type="spellEnd"/>
      <w:r>
        <w:rPr>
          <w:rFonts w:ascii="Arial" w:hAnsi="Arial" w:cs="Arial"/>
          <w:sz w:val="24"/>
          <w:szCs w:val="24"/>
        </w:rPr>
        <w:t xml:space="preserve"> está </w:t>
      </w:r>
      <w:r w:rsidR="00CC0910">
        <w:rPr>
          <w:rFonts w:ascii="Arial" w:hAnsi="Arial" w:cs="Arial"/>
          <w:sz w:val="24"/>
          <w:szCs w:val="24"/>
        </w:rPr>
        <w:t>conformado de la siguiente manera:</w:t>
      </w:r>
    </w:p>
    <w:p w:rsidR="00CC0910" w:rsidRDefault="00CC0910" w:rsidP="00C42589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42589">
        <w:rPr>
          <w:rFonts w:ascii="Arial" w:hAnsi="Arial" w:cs="Arial"/>
          <w:sz w:val="24"/>
          <w:szCs w:val="24"/>
        </w:rPr>
        <w:t>Normativos y de supervisión:</w:t>
      </w:r>
    </w:p>
    <w:p w:rsidR="002D22A5" w:rsidRDefault="002D22A5" w:rsidP="002D22A5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771608" w:rsidRPr="00C42589" w:rsidRDefault="00771608" w:rsidP="002D22A5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C0910" w:rsidRPr="004E1DC5" w:rsidRDefault="00CC0910" w:rsidP="00C4258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035BF">
        <w:rPr>
          <w:rFonts w:ascii="Arial" w:hAnsi="Arial" w:cs="Arial"/>
          <w:sz w:val="24"/>
          <w:szCs w:val="24"/>
        </w:rPr>
        <w:t>Comité de Transparencia</w:t>
      </w:r>
    </w:p>
    <w:p w:rsidR="00CC0910" w:rsidRDefault="008148C2" w:rsidP="00CC091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 Archivonomía</w:t>
      </w:r>
    </w:p>
    <w:p w:rsidR="00C42589" w:rsidRDefault="00C42589" w:rsidP="00C42589">
      <w:pPr>
        <w:pStyle w:val="Prrafodelista"/>
        <w:ind w:left="780"/>
        <w:rPr>
          <w:rFonts w:ascii="Arial" w:hAnsi="Arial" w:cs="Arial"/>
          <w:sz w:val="24"/>
          <w:szCs w:val="24"/>
        </w:rPr>
      </w:pPr>
    </w:p>
    <w:p w:rsidR="00CC0910" w:rsidRDefault="00CC0910" w:rsidP="00C42589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42589">
        <w:rPr>
          <w:rFonts w:ascii="Arial" w:hAnsi="Arial" w:cs="Arial"/>
          <w:sz w:val="24"/>
          <w:szCs w:val="24"/>
        </w:rPr>
        <w:t>Operativos:</w:t>
      </w:r>
    </w:p>
    <w:p w:rsidR="002D22A5" w:rsidRPr="00C42589" w:rsidRDefault="002D22A5" w:rsidP="002D22A5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C0910" w:rsidRDefault="00CC0910" w:rsidP="00C4258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Oficialía de partes</w:t>
      </w:r>
    </w:p>
    <w:p w:rsidR="00CC0910" w:rsidRDefault="00CC0910" w:rsidP="00CC091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Responsables de archivo de trámite</w:t>
      </w:r>
    </w:p>
    <w:p w:rsidR="00CC0910" w:rsidRDefault="00CC0910" w:rsidP="00CC091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Archivo de concentración</w:t>
      </w:r>
    </w:p>
    <w:p w:rsidR="00C42589" w:rsidRDefault="00C42589" w:rsidP="00C42589">
      <w:pPr>
        <w:pStyle w:val="Prrafodelista"/>
        <w:rPr>
          <w:rFonts w:ascii="Arial" w:hAnsi="Arial" w:cs="Arial"/>
          <w:sz w:val="24"/>
          <w:szCs w:val="24"/>
        </w:rPr>
      </w:pPr>
    </w:p>
    <w:p w:rsidR="00CC0910" w:rsidRDefault="00CC0910" w:rsidP="00C42589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42589">
        <w:rPr>
          <w:rFonts w:ascii="Arial" w:hAnsi="Arial" w:cs="Arial"/>
          <w:sz w:val="24"/>
          <w:szCs w:val="24"/>
        </w:rPr>
        <w:t>Control y Apoyo:</w:t>
      </w:r>
    </w:p>
    <w:p w:rsidR="002D22A5" w:rsidRPr="00C42589" w:rsidRDefault="002D22A5" w:rsidP="002D22A5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C0910" w:rsidRDefault="00CC0910" w:rsidP="00C4258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Instrumentos de consulta y control archivístico</w:t>
      </w:r>
    </w:p>
    <w:p w:rsidR="00CC0910" w:rsidRDefault="00CC0910" w:rsidP="00CC091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Contraloría Interna</w:t>
      </w:r>
    </w:p>
    <w:p w:rsidR="00621574" w:rsidRPr="002446CD" w:rsidRDefault="00621574" w:rsidP="00CC091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446CD">
        <w:rPr>
          <w:rFonts w:ascii="Arial" w:hAnsi="Arial" w:cs="Arial"/>
          <w:sz w:val="24"/>
          <w:szCs w:val="24"/>
        </w:rPr>
        <w:t xml:space="preserve">Dirección de Informática </w:t>
      </w:r>
    </w:p>
    <w:p w:rsidR="00CC0910" w:rsidRDefault="00CC0910" w:rsidP="002F1D0B">
      <w:pPr>
        <w:spacing w:after="0" w:line="240" w:lineRule="auto"/>
        <w:jc w:val="both"/>
      </w:pPr>
    </w:p>
    <w:p w:rsidR="00CC0910" w:rsidRDefault="00CC0910" w:rsidP="002F1D0B">
      <w:pPr>
        <w:spacing w:after="0" w:line="240" w:lineRule="auto"/>
        <w:jc w:val="both"/>
      </w:pPr>
    </w:p>
    <w:p w:rsidR="00CC0910" w:rsidRDefault="00CC0910" w:rsidP="002F1D0B">
      <w:pPr>
        <w:spacing w:after="0" w:line="240" w:lineRule="auto"/>
        <w:jc w:val="both"/>
      </w:pPr>
    </w:p>
    <w:p w:rsidR="00534336" w:rsidRDefault="00534336" w:rsidP="0053433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Alcance</w:t>
      </w:r>
      <w:r w:rsidRPr="00534336">
        <w:rPr>
          <w:rFonts w:ascii="Arial" w:hAnsi="Arial" w:cs="Arial"/>
          <w:b/>
          <w:sz w:val="24"/>
          <w:szCs w:val="24"/>
        </w:rPr>
        <w:t>:</w:t>
      </w:r>
    </w:p>
    <w:p w:rsidR="00534336" w:rsidRDefault="00C95551" w:rsidP="005343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PADA 201</w:t>
      </w:r>
      <w:r w:rsidR="00621574">
        <w:rPr>
          <w:rFonts w:ascii="Arial" w:hAnsi="Arial" w:cs="Arial"/>
          <w:sz w:val="24"/>
          <w:szCs w:val="24"/>
        </w:rPr>
        <w:t>9</w:t>
      </w:r>
      <w:r w:rsidR="00534336">
        <w:rPr>
          <w:rFonts w:ascii="Arial" w:hAnsi="Arial" w:cs="Arial"/>
          <w:sz w:val="24"/>
          <w:szCs w:val="24"/>
        </w:rPr>
        <w:t xml:space="preserve"> es aplicable a todas las unidad</w:t>
      </w:r>
      <w:r w:rsidR="00C42589">
        <w:rPr>
          <w:rFonts w:ascii="Arial" w:hAnsi="Arial" w:cs="Arial"/>
          <w:sz w:val="24"/>
          <w:szCs w:val="24"/>
        </w:rPr>
        <w:t xml:space="preserve">es administrativas del </w:t>
      </w:r>
      <w:proofErr w:type="spellStart"/>
      <w:r w:rsidR="00C42589">
        <w:rPr>
          <w:rFonts w:ascii="Arial" w:hAnsi="Arial" w:cs="Arial"/>
          <w:sz w:val="24"/>
          <w:szCs w:val="24"/>
        </w:rPr>
        <w:t>IACIP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035BF" w:rsidRDefault="00B035BF" w:rsidP="00B035BF">
      <w:pPr>
        <w:pStyle w:val="Prrafodelista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B035BF">
        <w:rPr>
          <w:rFonts w:ascii="Arial" w:hAnsi="Arial" w:cs="Arial"/>
          <w:b/>
          <w:sz w:val="24"/>
          <w:szCs w:val="24"/>
        </w:rPr>
        <w:t>Entregables (Normativos)</w:t>
      </w:r>
    </w:p>
    <w:p w:rsidR="00B035BF" w:rsidRDefault="00B035BF" w:rsidP="00B035BF">
      <w:pPr>
        <w:pStyle w:val="Prrafodelista"/>
        <w:ind w:left="1110"/>
        <w:rPr>
          <w:rFonts w:ascii="Arial" w:hAnsi="Arial" w:cs="Arial"/>
          <w:b/>
          <w:sz w:val="24"/>
          <w:szCs w:val="24"/>
        </w:rPr>
      </w:pPr>
    </w:p>
    <w:p w:rsidR="00C95551" w:rsidRPr="00C95551" w:rsidRDefault="00C95551" w:rsidP="00B035BF">
      <w:pPr>
        <w:pStyle w:val="Prrafodelista"/>
        <w:ind w:left="111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407"/>
        <w:gridCol w:w="3859"/>
      </w:tblGrid>
      <w:tr w:rsidR="00C95551" w:rsidRPr="00C95551" w:rsidTr="00771608">
        <w:tc>
          <w:tcPr>
            <w:tcW w:w="4407" w:type="dxa"/>
            <w:shd w:val="clear" w:color="auto" w:fill="D5DCE4" w:themeFill="text2" w:themeFillTint="33"/>
          </w:tcPr>
          <w:p w:rsidR="00C95551" w:rsidRPr="00C95551" w:rsidRDefault="00C95551" w:rsidP="00B035B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95551">
              <w:rPr>
                <w:rFonts w:ascii="Arial" w:hAnsi="Arial" w:cs="Arial"/>
                <w:b/>
                <w:sz w:val="24"/>
                <w:szCs w:val="24"/>
              </w:rPr>
              <w:t>Entregable</w:t>
            </w:r>
          </w:p>
        </w:tc>
        <w:tc>
          <w:tcPr>
            <w:tcW w:w="3859" w:type="dxa"/>
            <w:shd w:val="clear" w:color="auto" w:fill="D5DCE4" w:themeFill="text2" w:themeFillTint="33"/>
          </w:tcPr>
          <w:p w:rsidR="00C95551" w:rsidRPr="00C95551" w:rsidRDefault="00C95551" w:rsidP="00B035B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95551">
              <w:rPr>
                <w:rFonts w:ascii="Arial" w:hAnsi="Arial" w:cs="Arial"/>
                <w:b/>
                <w:sz w:val="24"/>
                <w:szCs w:val="24"/>
              </w:rPr>
              <w:t>Área responsable de elaboración</w:t>
            </w:r>
          </w:p>
        </w:tc>
      </w:tr>
      <w:tr w:rsidR="00C95551" w:rsidTr="00C95551">
        <w:tc>
          <w:tcPr>
            <w:tcW w:w="4407" w:type="dxa"/>
          </w:tcPr>
          <w:p w:rsidR="00C95551" w:rsidRPr="00C95551" w:rsidRDefault="00C95551" w:rsidP="00B035B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95551">
              <w:rPr>
                <w:rFonts w:ascii="Arial" w:hAnsi="Arial" w:cs="Arial"/>
                <w:sz w:val="24"/>
                <w:szCs w:val="24"/>
              </w:rPr>
              <w:t>Cuadro General de Clasificación Archivística</w:t>
            </w:r>
          </w:p>
        </w:tc>
        <w:tc>
          <w:tcPr>
            <w:tcW w:w="3859" w:type="dxa"/>
          </w:tcPr>
          <w:p w:rsidR="00C95551" w:rsidRPr="00771608" w:rsidRDefault="00C95551" w:rsidP="00B035BF">
            <w:pPr>
              <w:pStyle w:val="Prrafodelist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771608">
              <w:rPr>
                <w:rFonts w:ascii="Arial" w:hAnsi="Arial" w:cs="Arial"/>
                <w:i/>
                <w:sz w:val="24"/>
                <w:szCs w:val="24"/>
              </w:rPr>
              <w:t>Dirección de Archivonomía</w:t>
            </w:r>
          </w:p>
        </w:tc>
      </w:tr>
      <w:tr w:rsidR="00C95551" w:rsidTr="00C95551">
        <w:tc>
          <w:tcPr>
            <w:tcW w:w="4407" w:type="dxa"/>
          </w:tcPr>
          <w:p w:rsidR="00C95551" w:rsidRPr="00C95551" w:rsidRDefault="00C95551" w:rsidP="00B035B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95551">
              <w:rPr>
                <w:rFonts w:ascii="Arial" w:hAnsi="Arial" w:cs="Arial"/>
                <w:sz w:val="24"/>
                <w:szCs w:val="24"/>
              </w:rPr>
              <w:t>Guía de Archivo Documental</w:t>
            </w:r>
          </w:p>
        </w:tc>
        <w:tc>
          <w:tcPr>
            <w:tcW w:w="3859" w:type="dxa"/>
          </w:tcPr>
          <w:p w:rsidR="00C95551" w:rsidRPr="00771608" w:rsidRDefault="00C95551" w:rsidP="00B035BF">
            <w:pPr>
              <w:pStyle w:val="Prrafodelist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771608">
              <w:rPr>
                <w:rFonts w:ascii="Arial" w:hAnsi="Arial" w:cs="Arial"/>
                <w:i/>
                <w:sz w:val="24"/>
                <w:szCs w:val="24"/>
              </w:rPr>
              <w:t>Dirección de Archivonomía</w:t>
            </w:r>
          </w:p>
        </w:tc>
      </w:tr>
      <w:tr w:rsidR="00C95551" w:rsidTr="00C95551">
        <w:tc>
          <w:tcPr>
            <w:tcW w:w="4407" w:type="dxa"/>
          </w:tcPr>
          <w:p w:rsidR="00C95551" w:rsidRPr="00771608" w:rsidRDefault="00771608" w:rsidP="00B035B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1608">
              <w:rPr>
                <w:rFonts w:ascii="Arial" w:hAnsi="Arial" w:cs="Arial"/>
                <w:sz w:val="24"/>
                <w:szCs w:val="24"/>
              </w:rPr>
              <w:t>Catálogo de Disposición Documental</w:t>
            </w:r>
          </w:p>
        </w:tc>
        <w:tc>
          <w:tcPr>
            <w:tcW w:w="3859" w:type="dxa"/>
          </w:tcPr>
          <w:p w:rsidR="00C95551" w:rsidRPr="00771608" w:rsidRDefault="00771608" w:rsidP="00B035BF">
            <w:pPr>
              <w:pStyle w:val="Prrafodelist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771608">
              <w:rPr>
                <w:rFonts w:ascii="Arial" w:hAnsi="Arial" w:cs="Arial"/>
                <w:i/>
                <w:sz w:val="24"/>
                <w:szCs w:val="24"/>
              </w:rPr>
              <w:t>Dirección de Archivonomía</w:t>
            </w:r>
          </w:p>
        </w:tc>
      </w:tr>
      <w:tr w:rsidR="00C95551" w:rsidRPr="00771608" w:rsidTr="00C95551">
        <w:tc>
          <w:tcPr>
            <w:tcW w:w="4407" w:type="dxa"/>
          </w:tcPr>
          <w:p w:rsidR="00C95551" w:rsidRPr="00771608" w:rsidRDefault="00771608" w:rsidP="00B035B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71608">
              <w:rPr>
                <w:rFonts w:ascii="Arial" w:hAnsi="Arial" w:cs="Arial"/>
                <w:sz w:val="24"/>
                <w:szCs w:val="24"/>
              </w:rPr>
              <w:t>Inventarios Generales</w:t>
            </w:r>
          </w:p>
        </w:tc>
        <w:tc>
          <w:tcPr>
            <w:tcW w:w="3859" w:type="dxa"/>
          </w:tcPr>
          <w:p w:rsidR="00C95551" w:rsidRPr="00771608" w:rsidRDefault="00771608" w:rsidP="00B035BF">
            <w:pPr>
              <w:pStyle w:val="Prrafodelist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771608">
              <w:rPr>
                <w:rFonts w:ascii="Arial" w:hAnsi="Arial" w:cs="Arial"/>
                <w:i/>
                <w:sz w:val="24"/>
                <w:szCs w:val="24"/>
              </w:rPr>
              <w:t>Todas las unidades administrativas</w:t>
            </w:r>
          </w:p>
        </w:tc>
      </w:tr>
      <w:tr w:rsidR="00771608" w:rsidRPr="00771608" w:rsidTr="00C95551">
        <w:tc>
          <w:tcPr>
            <w:tcW w:w="4407" w:type="dxa"/>
          </w:tcPr>
          <w:p w:rsidR="00771608" w:rsidRPr="00771608" w:rsidRDefault="00771608" w:rsidP="00B035B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Índice de expedientes clasificados como reservados</w:t>
            </w:r>
          </w:p>
        </w:tc>
        <w:tc>
          <w:tcPr>
            <w:tcW w:w="3859" w:type="dxa"/>
          </w:tcPr>
          <w:p w:rsidR="00771608" w:rsidRPr="00771608" w:rsidRDefault="00771608" w:rsidP="00B035BF">
            <w:pPr>
              <w:pStyle w:val="Prrafodelista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771608">
              <w:rPr>
                <w:rFonts w:ascii="Arial" w:hAnsi="Arial" w:cs="Arial"/>
                <w:i/>
                <w:sz w:val="24"/>
                <w:szCs w:val="24"/>
              </w:rPr>
              <w:t>Todas las unidades administrativas</w:t>
            </w:r>
          </w:p>
        </w:tc>
      </w:tr>
    </w:tbl>
    <w:p w:rsidR="00C95551" w:rsidRDefault="00C95551" w:rsidP="00B035BF">
      <w:pPr>
        <w:pStyle w:val="Prrafodelista"/>
        <w:ind w:left="1110"/>
        <w:rPr>
          <w:rFonts w:ascii="Arial" w:hAnsi="Arial" w:cs="Arial"/>
          <w:sz w:val="24"/>
          <w:szCs w:val="24"/>
        </w:rPr>
      </w:pPr>
    </w:p>
    <w:p w:rsidR="002446CD" w:rsidRDefault="002446CD" w:rsidP="00CF5205">
      <w:pPr>
        <w:rPr>
          <w:rFonts w:ascii="Arial" w:hAnsi="Arial" w:cs="Arial"/>
          <w:sz w:val="24"/>
          <w:szCs w:val="24"/>
        </w:rPr>
      </w:pPr>
    </w:p>
    <w:p w:rsidR="002446CD" w:rsidRDefault="002446CD" w:rsidP="00CF5205">
      <w:pPr>
        <w:rPr>
          <w:rFonts w:ascii="Arial" w:hAnsi="Arial" w:cs="Arial"/>
          <w:sz w:val="24"/>
          <w:szCs w:val="24"/>
        </w:rPr>
      </w:pPr>
    </w:p>
    <w:p w:rsidR="00CF5205" w:rsidRDefault="00CF5205" w:rsidP="00CF5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Comité de transparencia del </w:t>
      </w:r>
      <w:proofErr w:type="spellStart"/>
      <w:r>
        <w:rPr>
          <w:rFonts w:ascii="Arial" w:hAnsi="Arial" w:cs="Arial"/>
          <w:sz w:val="24"/>
          <w:szCs w:val="24"/>
        </w:rPr>
        <w:t>IACIP</w:t>
      </w:r>
      <w:proofErr w:type="spellEnd"/>
      <w:r>
        <w:rPr>
          <w:rFonts w:ascii="Arial" w:hAnsi="Arial" w:cs="Arial"/>
          <w:sz w:val="24"/>
          <w:szCs w:val="24"/>
        </w:rPr>
        <w:t xml:space="preserve">, como parte normativa del Sistema Institucional de Archivos, aprobará las políticas, manuales e instrumentos de consulta y control archivísticos formulados por la Dirección de </w:t>
      </w:r>
      <w:r w:rsidR="002A48C4">
        <w:rPr>
          <w:rFonts w:ascii="Arial" w:hAnsi="Arial" w:cs="Arial"/>
          <w:sz w:val="24"/>
          <w:szCs w:val="24"/>
        </w:rPr>
        <w:t>Archivonomía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F5205" w:rsidRPr="00CF5205" w:rsidRDefault="00CF5205" w:rsidP="00CF5205">
      <w:pPr>
        <w:rPr>
          <w:rFonts w:ascii="Arial" w:hAnsi="Arial" w:cs="Arial"/>
          <w:sz w:val="24"/>
          <w:szCs w:val="24"/>
        </w:rPr>
      </w:pPr>
    </w:p>
    <w:p w:rsidR="00CF5205" w:rsidRPr="00C0134D" w:rsidRDefault="00CF5205" w:rsidP="00C0134D">
      <w:pPr>
        <w:rPr>
          <w:rFonts w:ascii="Arial" w:hAnsi="Arial" w:cs="Arial"/>
          <w:b/>
          <w:sz w:val="24"/>
          <w:szCs w:val="24"/>
        </w:rPr>
      </w:pPr>
    </w:p>
    <w:p w:rsidR="00D43909" w:rsidRDefault="00AE0C5C" w:rsidP="00D4390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Programas de </w:t>
      </w:r>
      <w:r w:rsidR="009E5F0A">
        <w:rPr>
          <w:rFonts w:ascii="Arial" w:hAnsi="Arial" w:cs="Arial"/>
          <w:b/>
          <w:sz w:val="24"/>
          <w:szCs w:val="24"/>
        </w:rPr>
        <w:t>Gestión Documental</w:t>
      </w:r>
    </w:p>
    <w:p w:rsidR="00D43909" w:rsidRDefault="00D43909" w:rsidP="00D43909">
      <w:pPr>
        <w:rPr>
          <w:rFonts w:ascii="Arial" w:hAnsi="Arial" w:cs="Arial"/>
          <w:sz w:val="24"/>
          <w:szCs w:val="24"/>
        </w:rPr>
      </w:pPr>
      <w:r w:rsidRPr="00D43909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D43909">
        <w:rPr>
          <w:rFonts w:ascii="Arial" w:hAnsi="Arial" w:cs="Arial"/>
          <w:sz w:val="24"/>
          <w:szCs w:val="24"/>
        </w:rPr>
        <w:t>IACIP</w:t>
      </w:r>
      <w:proofErr w:type="spellEnd"/>
      <w:r w:rsidR="007716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través de la Dirección de Archivos, atenderá los siguientes pro</w:t>
      </w:r>
      <w:r w:rsidR="00633799">
        <w:rPr>
          <w:rFonts w:ascii="Arial" w:hAnsi="Arial" w:cs="Arial"/>
          <w:sz w:val="24"/>
          <w:szCs w:val="24"/>
        </w:rPr>
        <w:t>gramas durante el ejercicio 201</w:t>
      </w:r>
      <w:r w:rsidR="005823D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:</w:t>
      </w:r>
    </w:p>
    <w:p w:rsidR="006730FC" w:rsidRDefault="006730FC" w:rsidP="006730F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Foliado</w:t>
      </w:r>
      <w:r w:rsidR="002D22A5">
        <w:rPr>
          <w:rFonts w:ascii="Arial" w:hAnsi="Arial" w:cs="Arial"/>
          <w:sz w:val="24"/>
          <w:szCs w:val="24"/>
        </w:rPr>
        <w:t>;</w:t>
      </w:r>
    </w:p>
    <w:p w:rsidR="006730FC" w:rsidRDefault="006730FC" w:rsidP="006730F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Transferencias Primarias</w:t>
      </w:r>
      <w:r w:rsidR="002D22A5">
        <w:rPr>
          <w:rFonts w:ascii="Arial" w:hAnsi="Arial" w:cs="Arial"/>
          <w:sz w:val="24"/>
          <w:szCs w:val="24"/>
        </w:rPr>
        <w:t>;</w:t>
      </w:r>
    </w:p>
    <w:p w:rsidR="006730FC" w:rsidRDefault="006730FC" w:rsidP="006730F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</w:t>
      </w:r>
      <w:r w:rsidR="00BA3B9C">
        <w:rPr>
          <w:rFonts w:ascii="Arial" w:hAnsi="Arial" w:cs="Arial"/>
          <w:sz w:val="24"/>
          <w:szCs w:val="24"/>
        </w:rPr>
        <w:t>ación, Conservación y Expurgo</w:t>
      </w:r>
      <w:r w:rsidR="002D22A5">
        <w:rPr>
          <w:rFonts w:ascii="Arial" w:hAnsi="Arial" w:cs="Arial"/>
          <w:sz w:val="24"/>
          <w:szCs w:val="24"/>
        </w:rPr>
        <w:t>;</w:t>
      </w:r>
    </w:p>
    <w:p w:rsidR="006730FC" w:rsidRDefault="006730FC" w:rsidP="006730F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Archivo de Concentración</w:t>
      </w:r>
      <w:r w:rsidR="002D22A5">
        <w:rPr>
          <w:rFonts w:ascii="Arial" w:hAnsi="Arial" w:cs="Arial"/>
          <w:sz w:val="24"/>
          <w:szCs w:val="24"/>
        </w:rPr>
        <w:t>; y</w:t>
      </w:r>
    </w:p>
    <w:p w:rsidR="006730FC" w:rsidRDefault="006730FC" w:rsidP="006730F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Capacitación </w:t>
      </w:r>
    </w:p>
    <w:p w:rsidR="005823DD" w:rsidRPr="006730FC" w:rsidRDefault="005823DD" w:rsidP="006730F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Sistema de gestión documental </w:t>
      </w:r>
    </w:p>
    <w:p w:rsidR="00D43909" w:rsidRDefault="00D43909" w:rsidP="00D43909">
      <w:pPr>
        <w:rPr>
          <w:rFonts w:ascii="Arial" w:hAnsi="Arial" w:cs="Arial"/>
          <w:sz w:val="24"/>
          <w:szCs w:val="24"/>
        </w:rPr>
      </w:pPr>
    </w:p>
    <w:p w:rsidR="00CF5205" w:rsidRPr="00D43909" w:rsidRDefault="00CF5205" w:rsidP="00D43909">
      <w:pPr>
        <w:rPr>
          <w:rFonts w:ascii="Arial" w:hAnsi="Arial" w:cs="Arial"/>
          <w:sz w:val="24"/>
          <w:szCs w:val="24"/>
        </w:rPr>
      </w:pPr>
    </w:p>
    <w:p w:rsidR="003276D4" w:rsidRDefault="003276D4" w:rsidP="005063CE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A933DA">
        <w:rPr>
          <w:rFonts w:ascii="Arial" w:hAnsi="Arial" w:cs="Arial"/>
          <w:b/>
          <w:sz w:val="24"/>
          <w:szCs w:val="24"/>
        </w:rPr>
        <w:t>Programa de foliado</w:t>
      </w:r>
      <w:r w:rsidR="00FD09DD" w:rsidRPr="00A933DA">
        <w:rPr>
          <w:rFonts w:ascii="Arial" w:hAnsi="Arial" w:cs="Arial"/>
          <w:b/>
          <w:sz w:val="24"/>
          <w:szCs w:val="24"/>
        </w:rPr>
        <w:t>:</w:t>
      </w:r>
    </w:p>
    <w:p w:rsidR="005063CE" w:rsidRPr="005063CE" w:rsidRDefault="005063CE" w:rsidP="005063CE">
      <w:pPr>
        <w:pStyle w:val="Prrafodelista"/>
        <w:ind w:left="972"/>
        <w:jc w:val="both"/>
        <w:rPr>
          <w:rFonts w:ascii="Arial" w:hAnsi="Arial" w:cs="Arial"/>
          <w:b/>
          <w:sz w:val="24"/>
          <w:szCs w:val="24"/>
        </w:rPr>
      </w:pPr>
    </w:p>
    <w:p w:rsidR="00A933DA" w:rsidRDefault="0082046B" w:rsidP="00A933D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Consiste en</w:t>
      </w:r>
      <w:r w:rsidR="003276D4">
        <w:rPr>
          <w:rFonts w:ascii="Arial" w:hAnsi="Arial" w:cs="Arial"/>
          <w:sz w:val="24"/>
          <w:szCs w:val="24"/>
        </w:rPr>
        <w:t xml:space="preserve"> el foliado manual o electrónico de todos los expedientes susceptibles de Transferencia Primaria, por ello es perma</w:t>
      </w:r>
      <w:r w:rsidR="00BD0950">
        <w:rPr>
          <w:rFonts w:ascii="Arial" w:hAnsi="Arial" w:cs="Arial"/>
          <w:sz w:val="24"/>
          <w:szCs w:val="24"/>
        </w:rPr>
        <w:t>nente y aplica para</w:t>
      </w:r>
      <w:r w:rsidR="003276D4">
        <w:rPr>
          <w:rFonts w:ascii="Arial" w:hAnsi="Arial" w:cs="Arial"/>
          <w:sz w:val="24"/>
          <w:szCs w:val="24"/>
        </w:rPr>
        <w:t xml:space="preserve"> tod</w:t>
      </w:r>
      <w:r w:rsidR="00A933DA">
        <w:rPr>
          <w:rFonts w:ascii="Arial" w:hAnsi="Arial" w:cs="Arial"/>
          <w:sz w:val="24"/>
          <w:szCs w:val="24"/>
        </w:rPr>
        <w:t>as las Unidades Administrativas.</w:t>
      </w:r>
    </w:p>
    <w:p w:rsidR="00525811" w:rsidRDefault="00525811" w:rsidP="00A933D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933DA" w:rsidRPr="00C0134D" w:rsidRDefault="00A933DA" w:rsidP="00C0134D">
      <w:pPr>
        <w:jc w:val="both"/>
        <w:rPr>
          <w:rFonts w:ascii="Arial" w:hAnsi="Arial" w:cs="Arial"/>
          <w:sz w:val="24"/>
          <w:szCs w:val="24"/>
        </w:rPr>
      </w:pPr>
    </w:p>
    <w:p w:rsidR="005063CE" w:rsidRPr="005063CE" w:rsidRDefault="00A933DA" w:rsidP="005063CE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A933DA">
        <w:rPr>
          <w:rFonts w:ascii="Arial" w:hAnsi="Arial" w:cs="Arial"/>
          <w:b/>
          <w:sz w:val="24"/>
          <w:szCs w:val="24"/>
        </w:rPr>
        <w:t>Programa de Transferencias Primarias:</w:t>
      </w:r>
    </w:p>
    <w:p w:rsidR="00CF5205" w:rsidRDefault="0082046B" w:rsidP="002446CD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26E85">
        <w:rPr>
          <w:rFonts w:ascii="Arial" w:hAnsi="Arial" w:cs="Arial"/>
          <w:sz w:val="24"/>
          <w:szCs w:val="24"/>
        </w:rPr>
        <w:t>barca traslados controlados de exp</w:t>
      </w:r>
      <w:r>
        <w:rPr>
          <w:rFonts w:ascii="Arial" w:hAnsi="Arial" w:cs="Arial"/>
          <w:sz w:val="24"/>
          <w:szCs w:val="24"/>
        </w:rPr>
        <w:t>edientes que han cumplido con la</w:t>
      </w:r>
      <w:r w:rsidR="00B26E85">
        <w:rPr>
          <w:rFonts w:ascii="Arial" w:hAnsi="Arial" w:cs="Arial"/>
          <w:sz w:val="24"/>
          <w:szCs w:val="24"/>
        </w:rPr>
        <w:t xml:space="preserve"> vigencia documental</w:t>
      </w:r>
      <w:r>
        <w:rPr>
          <w:rFonts w:ascii="Arial" w:hAnsi="Arial" w:cs="Arial"/>
          <w:sz w:val="24"/>
          <w:szCs w:val="24"/>
        </w:rPr>
        <w:t xml:space="preserve"> en archivos de trámite señalada en el Catálogo de Disposición Documental</w:t>
      </w:r>
      <w:r w:rsidR="00B26E85">
        <w:rPr>
          <w:rFonts w:ascii="Arial" w:hAnsi="Arial" w:cs="Arial"/>
          <w:sz w:val="24"/>
          <w:szCs w:val="24"/>
        </w:rPr>
        <w:t xml:space="preserve"> y son transferidos al archivo de concentración.</w:t>
      </w:r>
    </w:p>
    <w:p w:rsidR="00CF5205" w:rsidRDefault="00CF5205" w:rsidP="00A933DA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5E0471" w:rsidRDefault="005E0471" w:rsidP="00654D02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2446CD" w:rsidRDefault="002446CD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1917"/>
        <w:tblW w:w="7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9"/>
        <w:gridCol w:w="883"/>
        <w:gridCol w:w="941"/>
        <w:gridCol w:w="817"/>
        <w:gridCol w:w="833"/>
        <w:gridCol w:w="803"/>
        <w:gridCol w:w="1007"/>
      </w:tblGrid>
      <w:tr w:rsidR="00BE1730" w:rsidRPr="00D9659C" w:rsidTr="00BE1730">
        <w:trPr>
          <w:trHeight w:val="300"/>
        </w:trPr>
        <w:tc>
          <w:tcPr>
            <w:tcW w:w="780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965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PLAN ANUAL DE DESARROLLO ARCHIVÍSTICO 201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9</w:t>
            </w:r>
          </w:p>
        </w:tc>
      </w:tr>
      <w:tr w:rsidR="00BE1730" w:rsidRPr="00D9659C" w:rsidTr="00BE1730">
        <w:trPr>
          <w:trHeight w:val="30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1730" w:rsidRPr="00D9659C" w:rsidTr="00BE1730">
        <w:trPr>
          <w:trHeight w:val="300"/>
        </w:trPr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9659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PROGRAMA DE TRANSFERENCIAS PRIMARIAS</w:t>
            </w:r>
          </w:p>
        </w:tc>
      </w:tr>
      <w:tr w:rsidR="00BE1730" w:rsidRPr="00D9659C" w:rsidTr="00BE1730">
        <w:trPr>
          <w:trHeight w:val="315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9E5F0A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MX"/>
              </w:rPr>
              <w:t>2019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1730" w:rsidRPr="00D9659C" w:rsidTr="00BE1730">
        <w:trPr>
          <w:trHeight w:val="525"/>
        </w:trPr>
        <w:tc>
          <w:tcPr>
            <w:tcW w:w="25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0D0D0D"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965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UNIDAD ADMINISTRATIVA</w:t>
            </w:r>
          </w:p>
        </w:tc>
        <w:tc>
          <w:tcPr>
            <w:tcW w:w="883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0D0D0D"/>
            <w:noWrap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965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941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0D0D0D"/>
            <w:noWrap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965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817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0D0D0D"/>
            <w:noWrap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965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833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0D0D0D"/>
            <w:noWrap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965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803" w:type="dxa"/>
            <w:tcBorders>
              <w:top w:val="single" w:sz="8" w:space="0" w:color="FFFFFF"/>
              <w:left w:val="nil"/>
              <w:bottom w:val="single" w:sz="8" w:space="0" w:color="FFFFFF"/>
              <w:right w:val="single" w:sz="4" w:space="0" w:color="FFFFFF"/>
            </w:tcBorders>
            <w:shd w:val="clear" w:color="000000" w:fill="0D0D0D"/>
            <w:noWrap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965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00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0D0D0D"/>
            <w:noWrap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D965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AGOSTO</w:t>
            </w:r>
          </w:p>
        </w:tc>
      </w:tr>
      <w:tr w:rsidR="00BE1730" w:rsidRPr="00D9659C" w:rsidTr="00BE1730">
        <w:trPr>
          <w:trHeight w:val="120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65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65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65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65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65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65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965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730" w:rsidRPr="00D9659C" w:rsidTr="00BE1730">
        <w:trPr>
          <w:trHeight w:val="70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65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Pleno del Instituto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D9659C" w:rsidTr="00BE1730">
        <w:trPr>
          <w:trHeight w:val="70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65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General de Acuerdos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D9659C" w:rsidTr="00BE1730">
        <w:trPr>
          <w:trHeight w:val="69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65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Administración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D9659C" w:rsidTr="00BE1730">
        <w:trPr>
          <w:trHeight w:val="6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65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Asuntos Jurídicos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4529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D9659C" w:rsidTr="00BE1730">
        <w:trPr>
          <w:trHeight w:val="72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65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Comunicación Social y Vinculación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D9659C" w:rsidTr="00BE1730">
        <w:trPr>
          <w:trHeight w:val="72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0" w:name="_Hlk535320522"/>
            <w:r w:rsidRPr="00D965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Acceso a la Información y Protección de Datos Personales</w:t>
            </w:r>
            <w:bookmarkEnd w:id="0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D9659C" w:rsidTr="00BE1730">
        <w:trPr>
          <w:trHeight w:val="64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65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Contraloría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D9659C" w:rsidTr="00BE1730">
        <w:trPr>
          <w:trHeight w:val="489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65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Dirección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Informática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D9659C" w:rsidTr="00BE1730">
        <w:trPr>
          <w:trHeight w:val="30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65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Archivonomía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D9659C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446CD" w:rsidRDefault="002446CD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134D" w:rsidRDefault="00C0134D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30" w:rsidRDefault="00BE1730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3CE" w:rsidRDefault="005063CE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3CE" w:rsidRDefault="005063CE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63CE" w:rsidRPr="00800CF8" w:rsidRDefault="005063CE" w:rsidP="002F1D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77A5" w:rsidRPr="00A933DA" w:rsidRDefault="00F077A5" w:rsidP="00A933DA">
      <w:pPr>
        <w:pStyle w:val="Prrafodelista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A933DA">
        <w:rPr>
          <w:rFonts w:ascii="Arial" w:hAnsi="Arial" w:cs="Arial"/>
          <w:b/>
          <w:sz w:val="24"/>
          <w:szCs w:val="24"/>
        </w:rPr>
        <w:t>Programa de Organiz</w:t>
      </w:r>
      <w:r w:rsidR="00BA3B9C" w:rsidRPr="00A933DA">
        <w:rPr>
          <w:rFonts w:ascii="Arial" w:hAnsi="Arial" w:cs="Arial"/>
          <w:b/>
          <w:sz w:val="24"/>
          <w:szCs w:val="24"/>
        </w:rPr>
        <w:t>ación, Conservación y Expurgo</w:t>
      </w:r>
      <w:r w:rsidR="00FD09DD" w:rsidRPr="00A933DA">
        <w:rPr>
          <w:rFonts w:ascii="Arial" w:hAnsi="Arial" w:cs="Arial"/>
          <w:b/>
          <w:sz w:val="24"/>
          <w:szCs w:val="24"/>
        </w:rPr>
        <w:t>:</w:t>
      </w:r>
    </w:p>
    <w:p w:rsidR="0068533F" w:rsidRDefault="0068533F" w:rsidP="0068533F">
      <w:pPr>
        <w:pStyle w:val="Prrafodelista"/>
        <w:rPr>
          <w:rFonts w:ascii="Arial" w:hAnsi="Arial" w:cs="Arial"/>
          <w:sz w:val="24"/>
          <w:szCs w:val="24"/>
        </w:rPr>
      </w:pPr>
    </w:p>
    <w:p w:rsidR="0068533F" w:rsidRPr="00BA3B9C" w:rsidRDefault="006D1803" w:rsidP="00BA3B9C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8533F">
        <w:rPr>
          <w:rFonts w:ascii="Arial" w:hAnsi="Arial" w:cs="Arial"/>
          <w:sz w:val="24"/>
          <w:szCs w:val="24"/>
        </w:rPr>
        <w:t>iene como objetivo aseg</w:t>
      </w:r>
      <w:r w:rsidR="005D6273">
        <w:rPr>
          <w:rFonts w:ascii="Arial" w:hAnsi="Arial" w:cs="Arial"/>
          <w:sz w:val="24"/>
          <w:szCs w:val="24"/>
        </w:rPr>
        <w:t>urar el cumplimiento normativo,</w:t>
      </w:r>
      <w:r w:rsidR="0068533F">
        <w:rPr>
          <w:rFonts w:ascii="Arial" w:hAnsi="Arial" w:cs="Arial"/>
          <w:sz w:val="24"/>
          <w:szCs w:val="24"/>
        </w:rPr>
        <w:t xml:space="preserve"> la debida conservación y organización del acervo institucional para mej</w:t>
      </w:r>
      <w:r w:rsidR="00BA3B9C">
        <w:rPr>
          <w:rFonts w:ascii="Arial" w:hAnsi="Arial" w:cs="Arial"/>
          <w:sz w:val="24"/>
          <w:szCs w:val="24"/>
        </w:rPr>
        <w:t>orar la capacidad de operación así como</w:t>
      </w:r>
      <w:r w:rsidR="0068533F">
        <w:rPr>
          <w:rFonts w:ascii="Arial" w:hAnsi="Arial" w:cs="Arial"/>
          <w:sz w:val="24"/>
          <w:szCs w:val="24"/>
        </w:rPr>
        <w:t xml:space="preserve"> la eliminación de guard</w:t>
      </w:r>
      <w:r w:rsidR="00BA3B9C">
        <w:rPr>
          <w:rFonts w:ascii="Arial" w:hAnsi="Arial" w:cs="Arial"/>
          <w:sz w:val="24"/>
          <w:szCs w:val="24"/>
        </w:rPr>
        <w:t>a excesiva de papel de trabajo (no originales, reprografías, fotocopias, la</w:t>
      </w:r>
      <w:r w:rsidR="00BA3B9C" w:rsidRPr="00BA3B9C">
        <w:rPr>
          <w:rFonts w:ascii="Arial" w:hAnsi="Arial" w:cs="Arial"/>
          <w:sz w:val="24"/>
          <w:szCs w:val="24"/>
        </w:rPr>
        <w:t xml:space="preserve"> eliminac</w:t>
      </w:r>
      <w:r w:rsidR="00BA3B9C">
        <w:rPr>
          <w:rFonts w:ascii="Arial" w:hAnsi="Arial" w:cs="Arial"/>
          <w:sz w:val="24"/>
          <w:szCs w:val="24"/>
        </w:rPr>
        <w:t xml:space="preserve">ión del material dañino para los </w:t>
      </w:r>
      <w:r w:rsidR="00BA3B9C" w:rsidRPr="00BA3B9C">
        <w:rPr>
          <w:rFonts w:ascii="Arial" w:hAnsi="Arial" w:cs="Arial"/>
          <w:sz w:val="24"/>
          <w:szCs w:val="24"/>
        </w:rPr>
        <w:t>expedientes como clips, grapas y broches Baco, y la ordenación de los</w:t>
      </w:r>
      <w:r w:rsidR="00BA3B9C">
        <w:rPr>
          <w:rFonts w:ascii="Arial" w:hAnsi="Arial" w:cs="Arial"/>
          <w:sz w:val="24"/>
          <w:szCs w:val="24"/>
        </w:rPr>
        <w:t xml:space="preserve"> </w:t>
      </w:r>
      <w:r w:rsidR="00BA3B9C" w:rsidRPr="00BA3B9C">
        <w:rPr>
          <w:rFonts w:ascii="Arial" w:hAnsi="Arial" w:cs="Arial"/>
          <w:sz w:val="24"/>
          <w:szCs w:val="24"/>
        </w:rPr>
        <w:t>documentos de cada expediente conforme a los criterios establecidos en la</w:t>
      </w:r>
      <w:r w:rsidR="00BA3B9C">
        <w:rPr>
          <w:rFonts w:ascii="Arial" w:hAnsi="Arial" w:cs="Arial"/>
          <w:sz w:val="24"/>
          <w:szCs w:val="24"/>
        </w:rPr>
        <w:t xml:space="preserve"> </w:t>
      </w:r>
      <w:r w:rsidR="00BA3B9C" w:rsidRPr="00BA3B9C">
        <w:rPr>
          <w:rFonts w:ascii="Arial" w:hAnsi="Arial" w:cs="Arial"/>
          <w:sz w:val="24"/>
          <w:szCs w:val="24"/>
        </w:rPr>
        <w:t>serie documental a la que perteneciera el mismo</w:t>
      </w:r>
      <w:r w:rsidR="00BA3B9C">
        <w:rPr>
          <w:rFonts w:ascii="Arial" w:hAnsi="Arial" w:cs="Arial"/>
          <w:sz w:val="24"/>
          <w:szCs w:val="24"/>
        </w:rPr>
        <w:t>)</w:t>
      </w:r>
      <w:r w:rsidR="00BA3B9C" w:rsidRPr="00BA3B9C">
        <w:rPr>
          <w:rFonts w:ascii="Arial" w:hAnsi="Arial" w:cs="Arial"/>
          <w:sz w:val="24"/>
          <w:szCs w:val="24"/>
        </w:rPr>
        <w:t>.</w:t>
      </w:r>
    </w:p>
    <w:p w:rsidR="0068533F" w:rsidRDefault="0068533F" w:rsidP="0068533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8533F" w:rsidRDefault="00086CD4" w:rsidP="0068533F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8533F">
        <w:rPr>
          <w:rFonts w:ascii="Arial" w:hAnsi="Arial" w:cs="Arial"/>
          <w:sz w:val="24"/>
          <w:szCs w:val="24"/>
        </w:rPr>
        <w:t>a actualización</w:t>
      </w:r>
      <w:r w:rsidR="00D005FA">
        <w:rPr>
          <w:rFonts w:ascii="Arial" w:hAnsi="Arial" w:cs="Arial"/>
          <w:sz w:val="24"/>
          <w:szCs w:val="24"/>
        </w:rPr>
        <w:t xml:space="preserve"> y la publicación en nuestro portal</w:t>
      </w:r>
      <w:r w:rsidR="0068533F">
        <w:rPr>
          <w:rFonts w:ascii="Arial" w:hAnsi="Arial" w:cs="Arial"/>
          <w:sz w:val="24"/>
          <w:szCs w:val="24"/>
        </w:rPr>
        <w:t xml:space="preserve"> de los siguientes instrumentos archivísticos:</w:t>
      </w:r>
    </w:p>
    <w:p w:rsidR="0068533F" w:rsidRPr="005063CE" w:rsidRDefault="0068533F" w:rsidP="0068533F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Cuadro General de Clasificación Archivística.</w:t>
      </w:r>
    </w:p>
    <w:p w:rsidR="005063CE" w:rsidRDefault="005063CE" w:rsidP="005063CE">
      <w:pPr>
        <w:rPr>
          <w:rFonts w:ascii="Arial" w:hAnsi="Arial" w:cs="Arial"/>
          <w:b/>
          <w:sz w:val="24"/>
          <w:szCs w:val="24"/>
        </w:rPr>
      </w:pPr>
    </w:p>
    <w:p w:rsidR="005063CE" w:rsidRPr="005063CE" w:rsidRDefault="005063CE" w:rsidP="005063CE">
      <w:pPr>
        <w:rPr>
          <w:rFonts w:ascii="Arial" w:hAnsi="Arial" w:cs="Arial"/>
          <w:b/>
          <w:sz w:val="24"/>
          <w:szCs w:val="24"/>
        </w:rPr>
      </w:pPr>
    </w:p>
    <w:p w:rsidR="00C0134D" w:rsidRPr="005063CE" w:rsidRDefault="0068533F" w:rsidP="00C0134D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Guía de archivo documental.</w:t>
      </w:r>
    </w:p>
    <w:p w:rsidR="0068533F" w:rsidRPr="002446CD" w:rsidRDefault="0068533F" w:rsidP="002446CD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Catálogo de disposición documental.</w:t>
      </w:r>
    </w:p>
    <w:p w:rsidR="00A63F77" w:rsidRDefault="00A63F77" w:rsidP="0068533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9634A" w:rsidRPr="00D605DB" w:rsidRDefault="006D1803" w:rsidP="0068533F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D605DB">
        <w:rPr>
          <w:rFonts w:ascii="Arial" w:hAnsi="Arial" w:cs="Arial"/>
          <w:sz w:val="24"/>
          <w:szCs w:val="24"/>
        </w:rPr>
        <w:t xml:space="preserve">La unidad de </w:t>
      </w:r>
      <w:r w:rsidR="00A63F77" w:rsidRPr="00D605DB">
        <w:rPr>
          <w:rFonts w:ascii="Arial" w:hAnsi="Arial" w:cs="Arial"/>
          <w:sz w:val="24"/>
          <w:szCs w:val="24"/>
        </w:rPr>
        <w:t xml:space="preserve">Contraloría Interna </w:t>
      </w:r>
      <w:r w:rsidRPr="00D605DB">
        <w:rPr>
          <w:rFonts w:ascii="Arial" w:hAnsi="Arial" w:cs="Arial"/>
          <w:sz w:val="24"/>
          <w:szCs w:val="24"/>
        </w:rPr>
        <w:t xml:space="preserve">del </w:t>
      </w:r>
      <w:proofErr w:type="spellStart"/>
      <w:r w:rsidRPr="00D605DB">
        <w:rPr>
          <w:rFonts w:ascii="Arial" w:hAnsi="Arial" w:cs="Arial"/>
          <w:sz w:val="24"/>
          <w:szCs w:val="24"/>
        </w:rPr>
        <w:t>IACIP</w:t>
      </w:r>
      <w:proofErr w:type="spellEnd"/>
      <w:r w:rsidRPr="00D605DB">
        <w:rPr>
          <w:rFonts w:ascii="Arial" w:hAnsi="Arial" w:cs="Arial"/>
          <w:sz w:val="24"/>
          <w:szCs w:val="24"/>
        </w:rPr>
        <w:t xml:space="preserve"> </w:t>
      </w:r>
      <w:r w:rsidR="00A63F77" w:rsidRPr="00D605DB">
        <w:rPr>
          <w:rFonts w:ascii="Arial" w:hAnsi="Arial" w:cs="Arial"/>
          <w:sz w:val="24"/>
          <w:szCs w:val="24"/>
        </w:rPr>
        <w:t>brindará apoyo</w:t>
      </w:r>
      <w:r w:rsidR="00BA3B9C" w:rsidRPr="00D605DB">
        <w:rPr>
          <w:rFonts w:ascii="Arial" w:hAnsi="Arial" w:cs="Arial"/>
          <w:sz w:val="24"/>
          <w:szCs w:val="24"/>
        </w:rPr>
        <w:t xml:space="preserve"> </w:t>
      </w:r>
      <w:r w:rsidR="0099634A" w:rsidRPr="00D605DB">
        <w:rPr>
          <w:rFonts w:ascii="Arial" w:hAnsi="Arial" w:cs="Arial"/>
          <w:sz w:val="24"/>
          <w:szCs w:val="24"/>
        </w:rPr>
        <w:t>durante el primer semestre</w:t>
      </w:r>
      <w:r w:rsidR="00585062">
        <w:rPr>
          <w:rFonts w:ascii="Arial" w:hAnsi="Arial" w:cs="Arial"/>
          <w:sz w:val="24"/>
          <w:szCs w:val="24"/>
        </w:rPr>
        <w:t xml:space="preserve"> </w:t>
      </w:r>
      <w:r w:rsidR="0099634A" w:rsidRPr="00D605DB">
        <w:rPr>
          <w:rFonts w:ascii="Arial" w:hAnsi="Arial" w:cs="Arial"/>
          <w:sz w:val="24"/>
          <w:szCs w:val="24"/>
        </w:rPr>
        <w:t xml:space="preserve">del año </w:t>
      </w:r>
      <w:r w:rsidR="00837468" w:rsidRPr="00D605DB">
        <w:rPr>
          <w:rFonts w:ascii="Arial" w:hAnsi="Arial" w:cs="Arial"/>
          <w:sz w:val="24"/>
          <w:szCs w:val="24"/>
        </w:rPr>
        <w:t>(</w:t>
      </w:r>
      <w:r w:rsidR="00585062">
        <w:rPr>
          <w:rFonts w:ascii="Arial" w:hAnsi="Arial" w:cs="Arial"/>
          <w:i/>
          <w:sz w:val="24"/>
          <w:szCs w:val="24"/>
        </w:rPr>
        <w:t>ver punto 6</w:t>
      </w:r>
      <w:r w:rsidR="005E0471" w:rsidRPr="00D605DB">
        <w:rPr>
          <w:rFonts w:ascii="Arial" w:hAnsi="Arial" w:cs="Arial"/>
          <w:i/>
          <w:sz w:val="24"/>
          <w:szCs w:val="24"/>
        </w:rPr>
        <w:t xml:space="preserve"> Cronograma de Trabajo</w:t>
      </w:r>
      <w:r w:rsidR="00A15E6D" w:rsidRPr="00D605DB">
        <w:rPr>
          <w:rFonts w:ascii="Arial" w:hAnsi="Arial" w:cs="Arial"/>
          <w:sz w:val="24"/>
          <w:szCs w:val="24"/>
        </w:rPr>
        <w:t xml:space="preserve">) </w:t>
      </w:r>
      <w:r w:rsidR="00BA3B9C" w:rsidRPr="00D605DB">
        <w:rPr>
          <w:rFonts w:ascii="Arial" w:hAnsi="Arial" w:cs="Arial"/>
          <w:sz w:val="24"/>
          <w:szCs w:val="24"/>
        </w:rPr>
        <w:t xml:space="preserve">para </w:t>
      </w:r>
      <w:r w:rsidR="0099634A" w:rsidRPr="00D605DB">
        <w:rPr>
          <w:rFonts w:ascii="Arial" w:hAnsi="Arial" w:cs="Arial"/>
          <w:sz w:val="24"/>
          <w:szCs w:val="24"/>
        </w:rPr>
        <w:t>realizar de manera conjunta un diagnóstico en el avance de los inventarios y durante el segundo semestre una auditoría</w:t>
      </w:r>
      <w:r w:rsidR="00D005FA" w:rsidRPr="00D605DB">
        <w:rPr>
          <w:rFonts w:ascii="Arial" w:hAnsi="Arial" w:cs="Arial"/>
          <w:sz w:val="24"/>
          <w:szCs w:val="24"/>
        </w:rPr>
        <w:t xml:space="preserve"> a fin de determinar de manera oficial el grado de avanc</w:t>
      </w:r>
      <w:r w:rsidR="00F579FB">
        <w:rPr>
          <w:rFonts w:ascii="Arial" w:hAnsi="Arial" w:cs="Arial"/>
          <w:sz w:val="24"/>
          <w:szCs w:val="24"/>
        </w:rPr>
        <w:t xml:space="preserve">e de cada unidad </w:t>
      </w:r>
      <w:r w:rsidR="005823DD" w:rsidRPr="00D605DB">
        <w:rPr>
          <w:rFonts w:ascii="Arial" w:hAnsi="Arial" w:cs="Arial"/>
          <w:sz w:val="24"/>
          <w:szCs w:val="24"/>
        </w:rPr>
        <w:t>administrativa,</w:t>
      </w:r>
      <w:r w:rsidR="00E50BFB" w:rsidRPr="00D605DB">
        <w:rPr>
          <w:rFonts w:ascii="Arial" w:hAnsi="Arial" w:cs="Arial"/>
          <w:sz w:val="24"/>
          <w:szCs w:val="24"/>
        </w:rPr>
        <w:t xml:space="preserve"> así como el cotejar físicamente que todo expediente de archivo cuente con carátula y codificación de acuerdo al cuadro general de clasificación.</w:t>
      </w:r>
    </w:p>
    <w:p w:rsidR="00A63F77" w:rsidRPr="00D605DB" w:rsidRDefault="00A63F77" w:rsidP="0068533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63F77" w:rsidRDefault="001E5AAF" w:rsidP="00A63F77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D605DB">
        <w:rPr>
          <w:rFonts w:ascii="Arial" w:hAnsi="Arial" w:cs="Arial"/>
          <w:sz w:val="24"/>
          <w:szCs w:val="24"/>
        </w:rPr>
        <w:t>Se medirá</w:t>
      </w:r>
      <w:r w:rsidR="00A63F77" w:rsidRPr="00D605DB">
        <w:rPr>
          <w:rFonts w:ascii="Arial" w:hAnsi="Arial" w:cs="Arial"/>
          <w:sz w:val="24"/>
          <w:szCs w:val="24"/>
        </w:rPr>
        <w:t xml:space="preserve"> el porcentaje de cumplimiento de las unidades admin</w:t>
      </w:r>
      <w:r w:rsidRPr="00D605DB">
        <w:rPr>
          <w:rFonts w:ascii="Arial" w:hAnsi="Arial" w:cs="Arial"/>
          <w:sz w:val="24"/>
          <w:szCs w:val="24"/>
        </w:rPr>
        <w:t>istrativas en la elaboración de los</w:t>
      </w:r>
      <w:r w:rsidR="00A63F77" w:rsidRPr="00D605DB">
        <w:rPr>
          <w:rFonts w:ascii="Arial" w:hAnsi="Arial" w:cs="Arial"/>
          <w:sz w:val="24"/>
          <w:szCs w:val="24"/>
        </w:rPr>
        <w:t xml:space="preserve"> inventario</w:t>
      </w:r>
      <w:r w:rsidRPr="00D605DB">
        <w:rPr>
          <w:rFonts w:ascii="Arial" w:hAnsi="Arial" w:cs="Arial"/>
          <w:sz w:val="24"/>
          <w:szCs w:val="24"/>
        </w:rPr>
        <w:t>s</w:t>
      </w:r>
      <w:r w:rsidR="00A63F77" w:rsidRPr="00D605DB">
        <w:rPr>
          <w:rFonts w:ascii="Arial" w:hAnsi="Arial" w:cs="Arial"/>
          <w:sz w:val="24"/>
          <w:szCs w:val="24"/>
        </w:rPr>
        <w:t xml:space="preserve"> a través del siguiente indicador:</w:t>
      </w:r>
    </w:p>
    <w:p w:rsidR="00A63F77" w:rsidRPr="00C0134D" w:rsidRDefault="00A63F77" w:rsidP="00C0134D">
      <w:pPr>
        <w:jc w:val="both"/>
        <w:rPr>
          <w:rFonts w:ascii="Arial" w:hAnsi="Arial" w:cs="Arial"/>
          <w:sz w:val="24"/>
          <w:szCs w:val="24"/>
        </w:rPr>
      </w:pPr>
    </w:p>
    <w:p w:rsidR="00EE4EE2" w:rsidRPr="00D605DB" w:rsidRDefault="00A63F77" w:rsidP="00A63F77">
      <w:pPr>
        <w:pStyle w:val="Prrafodelista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</w:pPr>
      <w:r w:rsidRPr="00D605DB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 xml:space="preserve">% de Expedientes Actualizados = </w:t>
      </w:r>
      <w:r w:rsidR="00EE4EE2" w:rsidRPr="00D605DB">
        <w:rPr>
          <w:rFonts w:ascii="Arial" w:eastAsia="Times New Roman" w:hAnsi="Arial" w:cs="Arial"/>
          <w:color w:val="000000" w:themeColor="text1"/>
          <w:sz w:val="20"/>
          <w:szCs w:val="20"/>
          <w:lang w:eastAsia="es-MX"/>
        </w:rPr>
        <w:t xml:space="preserve"> </w:t>
      </w:r>
    </w:p>
    <w:tbl>
      <w:tblPr>
        <w:tblStyle w:val="Listamedia2-nfasis1"/>
        <w:tblW w:w="7303" w:type="dxa"/>
        <w:jc w:val="center"/>
        <w:tblInd w:w="0" w:type="dxa"/>
        <w:tblLook w:val="04A0" w:firstRow="1" w:lastRow="0" w:firstColumn="1" w:lastColumn="0" w:noHBand="0" w:noVBand="1"/>
      </w:tblPr>
      <w:tblGrid>
        <w:gridCol w:w="7303"/>
      </w:tblGrid>
      <w:tr w:rsidR="00EE4EE2" w:rsidRPr="00D605DB" w:rsidTr="00D82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96" w:type="dxa"/>
            <w:hideMark/>
          </w:tcPr>
          <w:p w:rsidR="00EE4EE2" w:rsidRPr="00D605DB" w:rsidRDefault="00EE4EE2" w:rsidP="00D827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05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de Expedientes activos registrados según el cuadro general de clasificación</w:t>
            </w:r>
          </w:p>
        </w:tc>
      </w:tr>
      <w:tr w:rsidR="00EE4EE2" w:rsidRPr="009E5526" w:rsidTr="00D8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6" w:type="dxa"/>
            <w:hideMark/>
          </w:tcPr>
          <w:p w:rsidR="00EE4EE2" w:rsidRPr="00D605DB" w:rsidRDefault="00EE4EE2" w:rsidP="00D8279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605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Número de Expedientes activos totales</w:t>
            </w:r>
          </w:p>
        </w:tc>
      </w:tr>
    </w:tbl>
    <w:p w:rsidR="00C0134D" w:rsidRDefault="00C0134D" w:rsidP="002446CD">
      <w:pPr>
        <w:jc w:val="both"/>
        <w:rPr>
          <w:rFonts w:ascii="Arial" w:hAnsi="Arial" w:cs="Arial"/>
          <w:sz w:val="24"/>
          <w:szCs w:val="24"/>
        </w:rPr>
      </w:pPr>
    </w:p>
    <w:p w:rsidR="00C0134D" w:rsidRPr="002446CD" w:rsidRDefault="00C0134D" w:rsidP="002446CD">
      <w:pPr>
        <w:jc w:val="both"/>
        <w:rPr>
          <w:rFonts w:ascii="Arial" w:hAnsi="Arial" w:cs="Arial"/>
          <w:sz w:val="24"/>
          <w:szCs w:val="24"/>
        </w:rPr>
      </w:pPr>
    </w:p>
    <w:p w:rsidR="0099634A" w:rsidRDefault="004E0781" w:rsidP="00D605DB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605DB">
        <w:rPr>
          <w:rFonts w:ascii="Arial" w:hAnsi="Arial" w:cs="Arial"/>
          <w:b/>
          <w:sz w:val="24"/>
          <w:szCs w:val="24"/>
        </w:rPr>
        <w:t xml:space="preserve"> </w:t>
      </w:r>
      <w:r w:rsidR="00D605DB">
        <w:rPr>
          <w:rFonts w:ascii="Arial" w:hAnsi="Arial" w:cs="Arial"/>
          <w:b/>
          <w:sz w:val="24"/>
          <w:szCs w:val="24"/>
        </w:rPr>
        <w:t xml:space="preserve">Programa de Archivo de Concentración </w:t>
      </w:r>
    </w:p>
    <w:p w:rsidR="00D605DB" w:rsidRPr="00A933DA" w:rsidRDefault="00D605DB" w:rsidP="00D605DB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D605DB" w:rsidRPr="00D605DB" w:rsidRDefault="00D605DB" w:rsidP="00D605D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D605DB">
        <w:rPr>
          <w:rFonts w:ascii="Arial" w:hAnsi="Arial" w:cs="Arial"/>
          <w:sz w:val="24"/>
          <w:szCs w:val="24"/>
        </w:rPr>
        <w:t>Dentro de las actividades del Archivo de Concentración están la coordinación de las actualizaciones de los instrumentos de consulta y control archivístico, la atención de préstamo y consulta de expedientes y la atención y préstamo de material bibliográfico del centro documental, tener actualizado y vig</w:t>
      </w:r>
      <w:r w:rsidR="00EA1E22">
        <w:rPr>
          <w:rFonts w:ascii="Arial" w:hAnsi="Arial" w:cs="Arial"/>
          <w:sz w:val="24"/>
          <w:szCs w:val="24"/>
        </w:rPr>
        <w:t>ente el inventario del archivo.</w:t>
      </w:r>
    </w:p>
    <w:p w:rsidR="00525811" w:rsidRPr="00C0134D" w:rsidRDefault="00525811" w:rsidP="00C0134D">
      <w:pPr>
        <w:jc w:val="both"/>
        <w:rPr>
          <w:rFonts w:ascii="Arial" w:hAnsi="Arial" w:cs="Arial"/>
          <w:b/>
          <w:sz w:val="24"/>
          <w:szCs w:val="24"/>
        </w:rPr>
      </w:pPr>
    </w:p>
    <w:p w:rsidR="00D605DB" w:rsidRDefault="00D605DB" w:rsidP="00D605DB">
      <w:pPr>
        <w:pStyle w:val="Prrafodelista"/>
        <w:ind w:left="1681"/>
        <w:jc w:val="both"/>
        <w:rPr>
          <w:rFonts w:ascii="Arial" w:hAnsi="Arial" w:cs="Arial"/>
          <w:b/>
          <w:sz w:val="24"/>
          <w:szCs w:val="24"/>
        </w:rPr>
      </w:pPr>
    </w:p>
    <w:p w:rsidR="00D605DB" w:rsidRDefault="00D605DB" w:rsidP="00D605DB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Programa de Capacitación </w:t>
      </w:r>
    </w:p>
    <w:p w:rsidR="00525811" w:rsidRPr="00525811" w:rsidRDefault="00525811" w:rsidP="00525811">
      <w:pPr>
        <w:pStyle w:val="Prrafodelista"/>
        <w:ind w:left="1681"/>
        <w:jc w:val="both"/>
        <w:rPr>
          <w:rFonts w:ascii="Arial" w:hAnsi="Arial" w:cs="Arial"/>
          <w:b/>
          <w:sz w:val="24"/>
          <w:szCs w:val="24"/>
        </w:rPr>
      </w:pPr>
    </w:p>
    <w:p w:rsidR="002446CD" w:rsidRPr="002446CD" w:rsidRDefault="00FD09DD" w:rsidP="002446C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todo tiempo se</w:t>
      </w:r>
      <w:r w:rsidR="0099634A">
        <w:rPr>
          <w:rFonts w:ascii="Arial" w:hAnsi="Arial" w:cs="Arial"/>
          <w:sz w:val="24"/>
          <w:szCs w:val="24"/>
        </w:rPr>
        <w:t xml:space="preserve"> brindará asesoría técnica </w:t>
      </w:r>
      <w:r w:rsidR="002F1D0B" w:rsidRPr="0099634A">
        <w:rPr>
          <w:rFonts w:ascii="Arial" w:hAnsi="Arial" w:cs="Arial"/>
          <w:sz w:val="24"/>
          <w:szCs w:val="24"/>
        </w:rPr>
        <w:t>a las unidades de archivo de</w:t>
      </w:r>
      <w:r w:rsidR="00BC38DB">
        <w:rPr>
          <w:rFonts w:ascii="Arial" w:hAnsi="Arial" w:cs="Arial"/>
          <w:sz w:val="24"/>
          <w:szCs w:val="24"/>
        </w:rPr>
        <w:t xml:space="preserve"> trámite del </w:t>
      </w:r>
      <w:proofErr w:type="spellStart"/>
      <w:r w:rsidR="00BC38DB">
        <w:rPr>
          <w:rFonts w:ascii="Arial" w:hAnsi="Arial" w:cs="Arial"/>
          <w:sz w:val="24"/>
          <w:szCs w:val="24"/>
        </w:rPr>
        <w:t>IACIP</w:t>
      </w:r>
      <w:proofErr w:type="spellEnd"/>
      <w:r w:rsidR="002F1D0B" w:rsidRPr="0099634A">
        <w:rPr>
          <w:rFonts w:ascii="Arial" w:hAnsi="Arial" w:cs="Arial"/>
          <w:sz w:val="24"/>
          <w:szCs w:val="24"/>
        </w:rPr>
        <w:t xml:space="preserve"> para </w:t>
      </w:r>
      <w:r w:rsidR="00E50BFB">
        <w:rPr>
          <w:rFonts w:ascii="Arial" w:hAnsi="Arial" w:cs="Arial"/>
          <w:sz w:val="24"/>
          <w:szCs w:val="24"/>
        </w:rPr>
        <w:t>continuar difundiendo</w:t>
      </w:r>
      <w:r w:rsidR="002F1D0B" w:rsidRPr="0099634A">
        <w:rPr>
          <w:rFonts w:ascii="Arial" w:hAnsi="Arial" w:cs="Arial"/>
          <w:sz w:val="24"/>
          <w:szCs w:val="24"/>
        </w:rPr>
        <w:t xml:space="preserve"> el conocimiento</w:t>
      </w:r>
      <w:r w:rsidR="0099634A">
        <w:rPr>
          <w:rFonts w:ascii="Arial" w:hAnsi="Arial" w:cs="Arial"/>
          <w:sz w:val="24"/>
          <w:szCs w:val="24"/>
        </w:rPr>
        <w:t xml:space="preserve"> y nuevas disposiciones</w:t>
      </w:r>
      <w:r w:rsidR="002F1D0B" w:rsidRPr="0099634A">
        <w:rPr>
          <w:rFonts w:ascii="Arial" w:hAnsi="Arial" w:cs="Arial"/>
          <w:sz w:val="24"/>
          <w:szCs w:val="24"/>
        </w:rPr>
        <w:t xml:space="preserve"> en m</w:t>
      </w:r>
      <w:r w:rsidR="00D005FA">
        <w:rPr>
          <w:rFonts w:ascii="Arial" w:hAnsi="Arial" w:cs="Arial"/>
          <w:sz w:val="24"/>
          <w:szCs w:val="24"/>
        </w:rPr>
        <w:t xml:space="preserve">ateria </w:t>
      </w:r>
      <w:r w:rsidR="0069227A">
        <w:rPr>
          <w:rFonts w:ascii="Arial" w:hAnsi="Arial" w:cs="Arial"/>
          <w:sz w:val="24"/>
          <w:szCs w:val="24"/>
        </w:rPr>
        <w:t>archivística,</w:t>
      </w:r>
      <w:r w:rsidR="00D005FA">
        <w:rPr>
          <w:rFonts w:ascii="Arial" w:hAnsi="Arial" w:cs="Arial"/>
          <w:sz w:val="24"/>
          <w:szCs w:val="24"/>
        </w:rPr>
        <w:t xml:space="preserve"> así como de los instrumentos de consulta y control que habremos de actualizar.</w:t>
      </w:r>
    </w:p>
    <w:p w:rsidR="002446CD" w:rsidRDefault="002446CD" w:rsidP="0052581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F52642" w:rsidRDefault="00F52642" w:rsidP="0052581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2F1D0B" w:rsidRPr="008236EA" w:rsidRDefault="00D005FA" w:rsidP="005258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236EA">
        <w:rPr>
          <w:rFonts w:ascii="Arial" w:hAnsi="Arial" w:cs="Arial"/>
          <w:b/>
          <w:sz w:val="24"/>
          <w:szCs w:val="24"/>
        </w:rPr>
        <w:t>Cronograma de Trabajo</w:t>
      </w:r>
    </w:p>
    <w:p w:rsidR="00525811" w:rsidRDefault="00525811" w:rsidP="0052581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Y="2605"/>
        <w:tblW w:w="9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0"/>
        <w:gridCol w:w="2737"/>
        <w:gridCol w:w="511"/>
        <w:gridCol w:w="491"/>
        <w:gridCol w:w="540"/>
        <w:gridCol w:w="511"/>
        <w:gridCol w:w="29"/>
        <w:gridCol w:w="502"/>
        <w:gridCol w:w="9"/>
        <w:gridCol w:w="481"/>
        <w:gridCol w:w="50"/>
        <w:gridCol w:w="411"/>
        <w:gridCol w:w="79"/>
        <w:gridCol w:w="462"/>
        <w:gridCol w:w="501"/>
        <w:gridCol w:w="40"/>
        <w:gridCol w:w="480"/>
        <w:gridCol w:w="21"/>
        <w:gridCol w:w="510"/>
        <w:gridCol w:w="10"/>
        <w:gridCol w:w="439"/>
      </w:tblGrid>
      <w:tr w:rsidR="00BE1730" w:rsidRPr="00E74BC4" w:rsidTr="00BE1730">
        <w:trPr>
          <w:trHeight w:val="215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1730" w:rsidRPr="00E74BC4" w:rsidTr="00BE1730">
        <w:trPr>
          <w:trHeight w:val="2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</w:p>
        </w:tc>
        <w:tc>
          <w:tcPr>
            <w:tcW w:w="900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E74BC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 xml:space="preserve">PLAN ANUAL DE DESARROLLO </w:t>
            </w:r>
            <w:r w:rsidR="00ED5843" w:rsidRPr="00E74BC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ARCHIVÍSTICO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 xml:space="preserve"> 2019</w:t>
            </w:r>
          </w:p>
        </w:tc>
      </w:tr>
      <w:tr w:rsidR="00BE1730" w:rsidRPr="00E74BC4" w:rsidTr="00BE1730">
        <w:trPr>
          <w:trHeight w:val="215"/>
        </w:trPr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E1730" w:rsidRPr="00E74BC4" w:rsidTr="00BE1730">
        <w:trPr>
          <w:trHeight w:val="215"/>
        </w:trPr>
        <w:tc>
          <w:tcPr>
            <w:tcW w:w="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PROGRAMAS</w:t>
            </w:r>
          </w:p>
        </w:tc>
        <w:tc>
          <w:tcPr>
            <w:tcW w:w="51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16365C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ENE</w:t>
            </w:r>
          </w:p>
        </w:tc>
        <w:tc>
          <w:tcPr>
            <w:tcW w:w="49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16365C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FEB</w:t>
            </w:r>
          </w:p>
        </w:tc>
        <w:tc>
          <w:tcPr>
            <w:tcW w:w="54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16365C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MAR</w:t>
            </w:r>
          </w:p>
        </w:tc>
        <w:tc>
          <w:tcPr>
            <w:tcW w:w="51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16365C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ABR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16365C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MAY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16365C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JUN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JUL</w:t>
            </w:r>
          </w:p>
        </w:tc>
        <w:tc>
          <w:tcPr>
            <w:tcW w:w="541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16365C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AGO</w:t>
            </w:r>
          </w:p>
        </w:tc>
        <w:tc>
          <w:tcPr>
            <w:tcW w:w="501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16365C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SEP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16365C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OCT</w:t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16365C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NOV</w:t>
            </w:r>
          </w:p>
        </w:tc>
        <w:tc>
          <w:tcPr>
            <w:tcW w:w="449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16365C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FFFFFF"/>
                <w:lang w:eastAsia="es-MX"/>
              </w:rPr>
              <w:t>DIC</w:t>
            </w:r>
          </w:p>
        </w:tc>
      </w:tr>
      <w:tr w:rsidR="00BE1730" w:rsidRPr="00E74BC4" w:rsidTr="00BE1730">
        <w:trPr>
          <w:trHeight w:val="215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5.1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Foliado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95B3D7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95B3D7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95B3D7"/>
                <w:lang w:eastAsia="es-MX"/>
              </w:rPr>
              <w:t> </w:t>
            </w:r>
          </w:p>
        </w:tc>
      </w:tr>
      <w:tr w:rsidR="00BE1730" w:rsidRPr="00E74BC4" w:rsidTr="00BE1730">
        <w:trPr>
          <w:trHeight w:val="215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5.2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Transferencias Primarias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E74BC4" w:rsidTr="00BE1730">
        <w:trPr>
          <w:trHeight w:val="215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5.3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Organización, Conservación y Expurgo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E74BC4" w:rsidTr="00BE1730">
        <w:trPr>
          <w:trHeight w:val="215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 Cuadro General de Clasificación Archivístico.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E74BC4" w:rsidTr="00BE1730">
        <w:trPr>
          <w:trHeight w:val="215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Catálogo de disposición documental.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E74BC4" w:rsidTr="00BE1730">
        <w:trPr>
          <w:trHeight w:val="215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Guía de archivo documental.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E74BC4" w:rsidTr="00BE1730">
        <w:trPr>
          <w:trHeight w:val="215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Reglamento de Archivos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E74BC4" w:rsidTr="00BE1730">
        <w:trPr>
          <w:trHeight w:val="215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5.4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Archivo de Concentración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E74BC4" w:rsidTr="00BE1730">
        <w:trPr>
          <w:trHeight w:val="345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Préstamo de material bibliográfico del centro documental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E74BC4" w:rsidTr="00BE1730">
        <w:trPr>
          <w:trHeight w:val="215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Inventario del archivo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E74BC4" w:rsidTr="00BE1730">
        <w:trPr>
          <w:trHeight w:val="215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Atención de préstamo y consulta de expedientes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E74BC4" w:rsidTr="00BE1730">
        <w:trPr>
          <w:trHeight w:val="215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Revisión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E74BC4" w:rsidTr="00BE1730">
        <w:trPr>
          <w:trHeight w:val="215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Auditoría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E1730" w:rsidRPr="00E74BC4" w:rsidTr="00BE1730">
        <w:trPr>
          <w:trHeight w:val="215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5.5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30" w:rsidRPr="00E74BC4" w:rsidRDefault="00BE1730" w:rsidP="00BE1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Capacitación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730" w:rsidRPr="00E74BC4" w:rsidRDefault="00BE1730" w:rsidP="00BE1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74B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730" w:rsidRPr="00E74BC4" w:rsidRDefault="00BE1730" w:rsidP="00BE1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74BC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2446CD" w:rsidRDefault="002446CD" w:rsidP="00EE4EE2">
      <w:pPr>
        <w:jc w:val="both"/>
        <w:rPr>
          <w:rFonts w:ascii="Arial" w:hAnsi="Arial" w:cs="Arial"/>
          <w:b/>
          <w:sz w:val="24"/>
          <w:szCs w:val="24"/>
        </w:rPr>
      </w:pPr>
    </w:p>
    <w:p w:rsidR="002446CD" w:rsidRDefault="002446CD" w:rsidP="00BE1730">
      <w:pPr>
        <w:jc w:val="both"/>
        <w:rPr>
          <w:rFonts w:ascii="Arial" w:hAnsi="Arial" w:cs="Arial"/>
          <w:b/>
          <w:sz w:val="24"/>
          <w:szCs w:val="24"/>
        </w:rPr>
      </w:pPr>
    </w:p>
    <w:p w:rsidR="00871BE6" w:rsidRPr="008236EA" w:rsidRDefault="00871BE6" w:rsidP="00BE17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8236EA">
        <w:rPr>
          <w:rFonts w:ascii="Arial" w:hAnsi="Arial" w:cs="Arial"/>
          <w:b/>
          <w:sz w:val="24"/>
          <w:szCs w:val="24"/>
        </w:rPr>
        <w:t>Sistema de Gestión Documental Electrónico.</w:t>
      </w:r>
    </w:p>
    <w:p w:rsidR="00BB17EB" w:rsidRDefault="006119C4" w:rsidP="00BE1730">
      <w:pPr>
        <w:ind w:left="360"/>
        <w:jc w:val="both"/>
        <w:rPr>
          <w:rFonts w:ascii="Arial" w:hAnsi="Arial" w:cs="Arial"/>
          <w:sz w:val="24"/>
          <w:szCs w:val="24"/>
        </w:rPr>
      </w:pPr>
      <w:r w:rsidRPr="008236EA">
        <w:rPr>
          <w:rFonts w:ascii="Arial" w:hAnsi="Arial" w:cs="Arial"/>
          <w:sz w:val="24"/>
          <w:szCs w:val="24"/>
        </w:rPr>
        <w:t>Se</w:t>
      </w:r>
      <w:r w:rsidR="008236EA">
        <w:rPr>
          <w:rFonts w:ascii="Arial" w:hAnsi="Arial" w:cs="Arial"/>
          <w:sz w:val="24"/>
          <w:szCs w:val="24"/>
        </w:rPr>
        <w:t xml:space="preserve"> realizo un convenio de donación con </w:t>
      </w:r>
      <w:r w:rsidR="008236EA" w:rsidRPr="008236EA">
        <w:rPr>
          <w:rFonts w:ascii="Arial" w:hAnsi="Arial" w:cs="Arial"/>
          <w:sz w:val="24"/>
          <w:szCs w:val="24"/>
          <w:lang w:bidi="es-ES"/>
        </w:rPr>
        <w:t>la Unidad de Transparencia y Archivos del Poder Ejecutivo del Estado de Guanajuato,</w:t>
      </w:r>
      <w:r w:rsidR="006A5A63">
        <w:rPr>
          <w:rFonts w:ascii="Arial" w:hAnsi="Arial" w:cs="Arial"/>
          <w:sz w:val="24"/>
          <w:szCs w:val="24"/>
          <w:lang w:bidi="es-ES"/>
        </w:rPr>
        <w:t xml:space="preserve"> se </w:t>
      </w:r>
      <w:r w:rsidR="008236EA">
        <w:rPr>
          <w:rFonts w:ascii="Arial" w:hAnsi="Arial" w:cs="Arial"/>
          <w:sz w:val="24"/>
          <w:szCs w:val="24"/>
          <w:lang w:bidi="es-ES"/>
        </w:rPr>
        <w:t>recibió el</w:t>
      </w:r>
      <w:r w:rsidR="008236EA" w:rsidRPr="008236EA">
        <w:rPr>
          <w:rFonts w:ascii="Arial" w:hAnsi="Arial" w:cs="Arial"/>
          <w:sz w:val="24"/>
          <w:szCs w:val="24"/>
          <w:lang w:bidi="es-ES"/>
        </w:rPr>
        <w:t xml:space="preserve"> sistema de gestión </w:t>
      </w:r>
      <w:r w:rsidR="0069227A">
        <w:rPr>
          <w:rFonts w:ascii="Arial" w:hAnsi="Arial" w:cs="Arial"/>
          <w:sz w:val="24"/>
          <w:szCs w:val="24"/>
          <w:lang w:bidi="es-ES"/>
        </w:rPr>
        <w:t>documental,</w:t>
      </w:r>
      <w:r w:rsidR="000F35F1">
        <w:rPr>
          <w:rFonts w:ascii="Arial" w:hAnsi="Arial" w:cs="Arial"/>
          <w:sz w:val="24"/>
          <w:szCs w:val="24"/>
          <w:lang w:bidi="es-ES"/>
        </w:rPr>
        <w:t xml:space="preserve"> </w:t>
      </w:r>
      <w:r w:rsidR="0069227A">
        <w:rPr>
          <w:rFonts w:ascii="Arial" w:hAnsi="Arial" w:cs="Arial"/>
          <w:sz w:val="24"/>
          <w:szCs w:val="24"/>
          <w:lang w:bidi="es-ES"/>
        </w:rPr>
        <w:t xml:space="preserve">será implementado en el primer </w:t>
      </w:r>
      <w:r w:rsidR="000A727C">
        <w:rPr>
          <w:rFonts w:ascii="Arial" w:hAnsi="Arial" w:cs="Arial"/>
          <w:sz w:val="24"/>
          <w:szCs w:val="24"/>
          <w:lang w:bidi="es-ES"/>
        </w:rPr>
        <w:t xml:space="preserve">semestre </w:t>
      </w:r>
      <w:r w:rsidR="0069227A">
        <w:rPr>
          <w:rFonts w:ascii="Arial" w:hAnsi="Arial" w:cs="Arial"/>
          <w:sz w:val="24"/>
          <w:szCs w:val="24"/>
          <w:lang w:bidi="es-ES"/>
        </w:rPr>
        <w:t>del año</w:t>
      </w:r>
      <w:r w:rsidR="007A4C0D" w:rsidRPr="008236EA">
        <w:rPr>
          <w:rFonts w:ascii="Arial" w:hAnsi="Arial" w:cs="Arial"/>
          <w:sz w:val="24"/>
          <w:szCs w:val="24"/>
        </w:rPr>
        <w:t>,</w:t>
      </w:r>
      <w:r w:rsidR="0069227A">
        <w:rPr>
          <w:rFonts w:ascii="Arial" w:hAnsi="Arial" w:cs="Arial"/>
          <w:sz w:val="24"/>
          <w:szCs w:val="24"/>
        </w:rPr>
        <w:t xml:space="preserve"> iniciando con  la </w:t>
      </w:r>
      <w:r w:rsidR="0069227A" w:rsidRPr="0069227A">
        <w:rPr>
          <w:rFonts w:ascii="Arial" w:hAnsi="Arial" w:cs="Arial"/>
          <w:sz w:val="24"/>
          <w:szCs w:val="24"/>
        </w:rPr>
        <w:t>Dirección de Acceso a la Información y Protección de Datos Personales</w:t>
      </w:r>
      <w:r w:rsidR="000F35F1" w:rsidRPr="000F35F1">
        <w:rPr>
          <w:rFonts w:ascii="Arial" w:hAnsi="Arial" w:cs="Arial"/>
          <w:sz w:val="24"/>
          <w:szCs w:val="24"/>
        </w:rPr>
        <w:t xml:space="preserve"> </w:t>
      </w:r>
      <w:r w:rsidR="000F35F1">
        <w:rPr>
          <w:rFonts w:ascii="Arial" w:hAnsi="Arial" w:cs="Arial"/>
          <w:sz w:val="24"/>
          <w:szCs w:val="24"/>
        </w:rPr>
        <w:t>como área de prueba</w:t>
      </w:r>
      <w:bookmarkStart w:id="1" w:name="_GoBack"/>
      <w:bookmarkEnd w:id="1"/>
      <w:r w:rsidR="00BB17EB" w:rsidRPr="008236EA">
        <w:rPr>
          <w:rFonts w:ascii="Arial" w:hAnsi="Arial" w:cs="Arial"/>
          <w:sz w:val="24"/>
          <w:szCs w:val="24"/>
        </w:rPr>
        <w:t>.</w:t>
      </w:r>
    </w:p>
    <w:p w:rsidR="00BB17EB" w:rsidRDefault="00BB17EB" w:rsidP="00BE173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B17EB" w:rsidRPr="00BE1730" w:rsidRDefault="00BB17EB" w:rsidP="00BE17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E1730">
        <w:rPr>
          <w:rFonts w:ascii="Arial" w:hAnsi="Arial" w:cs="Arial"/>
          <w:b/>
          <w:sz w:val="24"/>
          <w:szCs w:val="24"/>
        </w:rPr>
        <w:t>Reportes de Avances.</w:t>
      </w:r>
    </w:p>
    <w:p w:rsidR="006119C4" w:rsidRDefault="00BB17EB" w:rsidP="00BE17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elaborará un Informe Anual de Cumplimiento al finalizar el año 201</w:t>
      </w:r>
      <w:r w:rsidR="003E53E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El cual </w:t>
      </w:r>
      <w:r w:rsidR="00BE173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se </w:t>
      </w:r>
      <w:r w:rsidR="00F63FA0">
        <w:rPr>
          <w:rFonts w:ascii="Arial" w:hAnsi="Arial" w:cs="Arial"/>
          <w:sz w:val="24"/>
          <w:szCs w:val="24"/>
        </w:rPr>
        <w:t xml:space="preserve">publicará </w:t>
      </w:r>
      <w:r w:rsidR="00F63FA0" w:rsidRPr="00BB17EB">
        <w:rPr>
          <w:rFonts w:ascii="Arial" w:hAnsi="Arial" w:cs="Arial"/>
          <w:sz w:val="24"/>
          <w:szCs w:val="24"/>
        </w:rPr>
        <w:t>en</w:t>
      </w:r>
      <w:r w:rsidR="0042676D">
        <w:rPr>
          <w:rFonts w:ascii="Arial" w:hAnsi="Arial" w:cs="Arial"/>
          <w:sz w:val="24"/>
          <w:szCs w:val="24"/>
        </w:rPr>
        <w:t xml:space="preserve"> el portal de Internet del Iacip.</w:t>
      </w:r>
    </w:p>
    <w:p w:rsidR="0042676D" w:rsidRDefault="0042676D" w:rsidP="00BB17E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3857"/>
      </w:tblGrid>
      <w:tr w:rsidR="0042676D" w:rsidTr="002F75D0">
        <w:trPr>
          <w:trHeight w:val="738"/>
        </w:trPr>
        <w:tc>
          <w:tcPr>
            <w:tcW w:w="7754" w:type="dxa"/>
            <w:gridSpan w:val="2"/>
          </w:tcPr>
          <w:p w:rsidR="0042676D" w:rsidRDefault="0042676D" w:rsidP="00426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Fecha</w:t>
            </w:r>
          </w:p>
        </w:tc>
      </w:tr>
      <w:tr w:rsidR="0042676D" w:rsidTr="002F75D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3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D" w:rsidRDefault="0042676D" w:rsidP="00426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Informe Anual de Cumplimiento </w:t>
            </w:r>
          </w:p>
        </w:tc>
        <w:tc>
          <w:tcPr>
            <w:tcW w:w="3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D" w:rsidRDefault="000249C4" w:rsidP="004267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de enero de 2019</w:t>
            </w:r>
          </w:p>
        </w:tc>
      </w:tr>
    </w:tbl>
    <w:p w:rsidR="0042676D" w:rsidRPr="00BB17EB" w:rsidRDefault="0042676D" w:rsidP="00BB17EB">
      <w:pPr>
        <w:jc w:val="both"/>
        <w:rPr>
          <w:rFonts w:ascii="Arial" w:hAnsi="Arial" w:cs="Arial"/>
          <w:sz w:val="24"/>
          <w:szCs w:val="24"/>
        </w:rPr>
      </w:pPr>
    </w:p>
    <w:p w:rsidR="006119C4" w:rsidRPr="006119C4" w:rsidRDefault="006119C4" w:rsidP="006119C4">
      <w:pPr>
        <w:jc w:val="both"/>
        <w:rPr>
          <w:rFonts w:ascii="Arial" w:hAnsi="Arial" w:cs="Arial"/>
          <w:b/>
          <w:sz w:val="24"/>
          <w:szCs w:val="24"/>
        </w:rPr>
      </w:pPr>
    </w:p>
    <w:p w:rsidR="00E74BC4" w:rsidRDefault="00E74BC4" w:rsidP="00EE4EE2">
      <w:pPr>
        <w:jc w:val="both"/>
        <w:rPr>
          <w:rFonts w:ascii="Arial" w:hAnsi="Arial" w:cs="Arial"/>
          <w:b/>
          <w:sz w:val="24"/>
          <w:szCs w:val="24"/>
        </w:rPr>
      </w:pPr>
    </w:p>
    <w:p w:rsidR="00EE4EE2" w:rsidRDefault="00EE4EE2" w:rsidP="00EE4EE2">
      <w:pPr>
        <w:jc w:val="both"/>
        <w:rPr>
          <w:rFonts w:ascii="Arial" w:hAnsi="Arial" w:cs="Arial"/>
          <w:b/>
          <w:sz w:val="24"/>
          <w:szCs w:val="24"/>
        </w:rPr>
      </w:pPr>
    </w:p>
    <w:p w:rsidR="000B12E3" w:rsidRPr="00EE4EE2" w:rsidRDefault="000B12E3" w:rsidP="00EE4EE2">
      <w:pPr>
        <w:jc w:val="both"/>
        <w:rPr>
          <w:rFonts w:ascii="Arial" w:hAnsi="Arial" w:cs="Arial"/>
          <w:b/>
          <w:sz w:val="24"/>
          <w:szCs w:val="24"/>
        </w:rPr>
      </w:pPr>
    </w:p>
    <w:sectPr w:rsidR="000B12E3" w:rsidRPr="00EE4EE2" w:rsidSect="00E74BC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4D2" w:rsidRDefault="002D24D2" w:rsidP="00524C48">
      <w:pPr>
        <w:spacing w:after="0" w:line="240" w:lineRule="auto"/>
      </w:pPr>
      <w:r>
        <w:separator/>
      </w:r>
    </w:p>
  </w:endnote>
  <w:endnote w:type="continuationSeparator" w:id="0">
    <w:p w:rsidR="002D24D2" w:rsidRDefault="002D24D2" w:rsidP="005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8844805"/>
      <w:docPartObj>
        <w:docPartGallery w:val="Page Numbers (Bottom of Page)"/>
        <w:docPartUnique/>
      </w:docPartObj>
    </w:sdtPr>
    <w:sdtEndPr/>
    <w:sdtContent>
      <w:p w:rsidR="00B10A88" w:rsidRDefault="00B10A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2E3" w:rsidRPr="000B12E3">
          <w:rPr>
            <w:noProof/>
            <w:lang w:val="es-ES"/>
          </w:rPr>
          <w:t>8</w:t>
        </w:r>
        <w:r>
          <w:fldChar w:fldCharType="end"/>
        </w:r>
      </w:p>
    </w:sdtContent>
  </w:sdt>
  <w:p w:rsidR="00B10A88" w:rsidRDefault="00B10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4D2" w:rsidRDefault="002D24D2" w:rsidP="00524C48">
      <w:pPr>
        <w:spacing w:after="0" w:line="240" w:lineRule="auto"/>
      </w:pPr>
      <w:r>
        <w:separator/>
      </w:r>
    </w:p>
  </w:footnote>
  <w:footnote w:type="continuationSeparator" w:id="0">
    <w:p w:rsidR="002D24D2" w:rsidRDefault="002D24D2" w:rsidP="0052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A88" w:rsidRDefault="00B10A88">
    <w:pPr>
      <w:pStyle w:val="Encabezado"/>
    </w:pPr>
    <w:r>
      <w:rPr>
        <w:noProof/>
        <w:sz w:val="72"/>
        <w:szCs w:val="72"/>
        <w:lang w:eastAsia="es-MX"/>
      </w:rPr>
      <w:drawing>
        <wp:inline distT="0" distB="0" distL="0" distR="0" wp14:anchorId="1FA441E2" wp14:editId="7B80480D">
          <wp:extent cx="502286" cy="25330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cip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513" cy="255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89C"/>
    <w:multiLevelType w:val="hybridMultilevel"/>
    <w:tmpl w:val="70AE51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6B68"/>
    <w:multiLevelType w:val="hybridMultilevel"/>
    <w:tmpl w:val="B5F86E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61E77"/>
    <w:multiLevelType w:val="hybridMultilevel"/>
    <w:tmpl w:val="43B852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6591"/>
    <w:multiLevelType w:val="hybridMultilevel"/>
    <w:tmpl w:val="E854A2F8"/>
    <w:lvl w:ilvl="0" w:tplc="7A68823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21185"/>
    <w:multiLevelType w:val="multilevel"/>
    <w:tmpl w:val="324C0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15F766C2"/>
    <w:multiLevelType w:val="multilevel"/>
    <w:tmpl w:val="47B2D9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8AD507A"/>
    <w:multiLevelType w:val="multilevel"/>
    <w:tmpl w:val="324C0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1A404B63"/>
    <w:multiLevelType w:val="hybridMultilevel"/>
    <w:tmpl w:val="98CA1994"/>
    <w:lvl w:ilvl="0" w:tplc="A824DC24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DF550F"/>
    <w:multiLevelType w:val="multilevel"/>
    <w:tmpl w:val="D1A089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9" w15:restartNumberingAfterBreak="0">
    <w:nsid w:val="237D1CAF"/>
    <w:multiLevelType w:val="multilevel"/>
    <w:tmpl w:val="47B2D9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792517"/>
    <w:multiLevelType w:val="multilevel"/>
    <w:tmpl w:val="AA24B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8" w:hanging="1800"/>
      </w:pPr>
      <w:rPr>
        <w:rFonts w:hint="default"/>
      </w:rPr>
    </w:lvl>
  </w:abstractNum>
  <w:abstractNum w:abstractNumId="11" w15:restartNumberingAfterBreak="0">
    <w:nsid w:val="38222DFE"/>
    <w:multiLevelType w:val="hybridMultilevel"/>
    <w:tmpl w:val="FDB225E6"/>
    <w:lvl w:ilvl="0" w:tplc="A746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4951"/>
    <w:multiLevelType w:val="hybridMultilevel"/>
    <w:tmpl w:val="C9D0D0E8"/>
    <w:lvl w:ilvl="0" w:tplc="0F4421C8">
      <w:start w:val="1"/>
      <w:numFmt w:val="lowerLetter"/>
      <w:lvlText w:val="%1)"/>
      <w:lvlJc w:val="left"/>
      <w:pPr>
        <w:ind w:left="183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3" w15:restartNumberingAfterBreak="0">
    <w:nsid w:val="45296F90"/>
    <w:multiLevelType w:val="hybridMultilevel"/>
    <w:tmpl w:val="2C8EAC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876F1"/>
    <w:multiLevelType w:val="hybridMultilevel"/>
    <w:tmpl w:val="4BBA909A"/>
    <w:lvl w:ilvl="0" w:tplc="105013D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5005F"/>
    <w:multiLevelType w:val="hybridMultilevel"/>
    <w:tmpl w:val="EFECD4BC"/>
    <w:lvl w:ilvl="0" w:tplc="537A02C8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AA7ABB"/>
    <w:multiLevelType w:val="hybridMultilevel"/>
    <w:tmpl w:val="188C1452"/>
    <w:lvl w:ilvl="0" w:tplc="08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C1C92"/>
    <w:multiLevelType w:val="hybridMultilevel"/>
    <w:tmpl w:val="5C3CF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A2FBA"/>
    <w:multiLevelType w:val="hybridMultilevel"/>
    <w:tmpl w:val="41885A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417541"/>
    <w:multiLevelType w:val="multilevel"/>
    <w:tmpl w:val="32FA2C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20" w15:restartNumberingAfterBreak="0">
    <w:nsid w:val="714F3FA0"/>
    <w:multiLevelType w:val="hybridMultilevel"/>
    <w:tmpl w:val="85627C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42813"/>
    <w:multiLevelType w:val="multilevel"/>
    <w:tmpl w:val="324C0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12"/>
  </w:num>
  <w:num w:numId="5">
    <w:abstractNumId w:val="7"/>
  </w:num>
  <w:num w:numId="6">
    <w:abstractNumId w:val="14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16"/>
  </w:num>
  <w:num w:numId="12">
    <w:abstractNumId w:val="18"/>
  </w:num>
  <w:num w:numId="13">
    <w:abstractNumId w:val="13"/>
  </w:num>
  <w:num w:numId="14">
    <w:abstractNumId w:val="11"/>
  </w:num>
  <w:num w:numId="15">
    <w:abstractNumId w:val="6"/>
  </w:num>
  <w:num w:numId="16">
    <w:abstractNumId w:val="8"/>
  </w:num>
  <w:num w:numId="17">
    <w:abstractNumId w:val="9"/>
  </w:num>
  <w:num w:numId="18">
    <w:abstractNumId w:val="5"/>
  </w:num>
  <w:num w:numId="19">
    <w:abstractNumId w:val="19"/>
  </w:num>
  <w:num w:numId="20">
    <w:abstractNumId w:val="4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F0"/>
    <w:rsid w:val="000249C4"/>
    <w:rsid w:val="00026096"/>
    <w:rsid w:val="00037B42"/>
    <w:rsid w:val="00041F42"/>
    <w:rsid w:val="000759E8"/>
    <w:rsid w:val="00075A21"/>
    <w:rsid w:val="00086CD4"/>
    <w:rsid w:val="0008741B"/>
    <w:rsid w:val="00090FD1"/>
    <w:rsid w:val="000A727C"/>
    <w:rsid w:val="000B12E3"/>
    <w:rsid w:val="000D3B5B"/>
    <w:rsid w:val="000E51B6"/>
    <w:rsid w:val="000E6587"/>
    <w:rsid w:val="000F35F1"/>
    <w:rsid w:val="00157E59"/>
    <w:rsid w:val="001602F0"/>
    <w:rsid w:val="00174F63"/>
    <w:rsid w:val="0019684C"/>
    <w:rsid w:val="001C0D89"/>
    <w:rsid w:val="001E5AAF"/>
    <w:rsid w:val="002446CD"/>
    <w:rsid w:val="002A48C4"/>
    <w:rsid w:val="002D22A5"/>
    <w:rsid w:val="002D24D2"/>
    <w:rsid w:val="002D2635"/>
    <w:rsid w:val="002D68C1"/>
    <w:rsid w:val="002E7789"/>
    <w:rsid w:val="002F1D0B"/>
    <w:rsid w:val="002F5058"/>
    <w:rsid w:val="002F75D0"/>
    <w:rsid w:val="00311499"/>
    <w:rsid w:val="00324B33"/>
    <w:rsid w:val="00327037"/>
    <w:rsid w:val="003276D4"/>
    <w:rsid w:val="00353F22"/>
    <w:rsid w:val="00374BBF"/>
    <w:rsid w:val="003A07CC"/>
    <w:rsid w:val="003A7F45"/>
    <w:rsid w:val="003B0578"/>
    <w:rsid w:val="003D4F67"/>
    <w:rsid w:val="003E53E2"/>
    <w:rsid w:val="003F00B5"/>
    <w:rsid w:val="00417603"/>
    <w:rsid w:val="0042676D"/>
    <w:rsid w:val="00427F53"/>
    <w:rsid w:val="00480DFF"/>
    <w:rsid w:val="004D400D"/>
    <w:rsid w:val="004E0781"/>
    <w:rsid w:val="004E1DC5"/>
    <w:rsid w:val="005063CE"/>
    <w:rsid w:val="00524C48"/>
    <w:rsid w:val="00525811"/>
    <w:rsid w:val="005331F2"/>
    <w:rsid w:val="00534336"/>
    <w:rsid w:val="005347EC"/>
    <w:rsid w:val="00552E4C"/>
    <w:rsid w:val="00574CA7"/>
    <w:rsid w:val="005823DD"/>
    <w:rsid w:val="00585062"/>
    <w:rsid w:val="005A26F0"/>
    <w:rsid w:val="005D6273"/>
    <w:rsid w:val="005E0471"/>
    <w:rsid w:val="005E712D"/>
    <w:rsid w:val="006119C4"/>
    <w:rsid w:val="00620054"/>
    <w:rsid w:val="00621574"/>
    <w:rsid w:val="0062535C"/>
    <w:rsid w:val="00633799"/>
    <w:rsid w:val="00654D02"/>
    <w:rsid w:val="006730FC"/>
    <w:rsid w:val="0068533F"/>
    <w:rsid w:val="0069227A"/>
    <w:rsid w:val="00692BB3"/>
    <w:rsid w:val="006A065D"/>
    <w:rsid w:val="006A5A63"/>
    <w:rsid w:val="006B2192"/>
    <w:rsid w:val="006C465C"/>
    <w:rsid w:val="006D1803"/>
    <w:rsid w:val="006E6569"/>
    <w:rsid w:val="00704507"/>
    <w:rsid w:val="0070469A"/>
    <w:rsid w:val="00732F5B"/>
    <w:rsid w:val="00746C25"/>
    <w:rsid w:val="00771608"/>
    <w:rsid w:val="00772FB0"/>
    <w:rsid w:val="0079009D"/>
    <w:rsid w:val="007945FF"/>
    <w:rsid w:val="007A4C0D"/>
    <w:rsid w:val="007C25C6"/>
    <w:rsid w:val="007C64CD"/>
    <w:rsid w:val="007F70C5"/>
    <w:rsid w:val="00800CF8"/>
    <w:rsid w:val="0080350D"/>
    <w:rsid w:val="00812EE8"/>
    <w:rsid w:val="008148C2"/>
    <w:rsid w:val="0082046B"/>
    <w:rsid w:val="008236EA"/>
    <w:rsid w:val="00837468"/>
    <w:rsid w:val="008553F9"/>
    <w:rsid w:val="0085584D"/>
    <w:rsid w:val="0086172E"/>
    <w:rsid w:val="00867EF9"/>
    <w:rsid w:val="00871BE6"/>
    <w:rsid w:val="008952D0"/>
    <w:rsid w:val="008E1631"/>
    <w:rsid w:val="008E4192"/>
    <w:rsid w:val="008F293C"/>
    <w:rsid w:val="00933687"/>
    <w:rsid w:val="0099634A"/>
    <w:rsid w:val="009E5526"/>
    <w:rsid w:val="009E5F0A"/>
    <w:rsid w:val="009E6B21"/>
    <w:rsid w:val="009F210E"/>
    <w:rsid w:val="00A04809"/>
    <w:rsid w:val="00A15E6D"/>
    <w:rsid w:val="00A41808"/>
    <w:rsid w:val="00A41C95"/>
    <w:rsid w:val="00A46FEC"/>
    <w:rsid w:val="00A553BC"/>
    <w:rsid w:val="00A63F77"/>
    <w:rsid w:val="00A71302"/>
    <w:rsid w:val="00A933DA"/>
    <w:rsid w:val="00AD38FA"/>
    <w:rsid w:val="00AE0C5C"/>
    <w:rsid w:val="00AF499E"/>
    <w:rsid w:val="00B035BF"/>
    <w:rsid w:val="00B05AA6"/>
    <w:rsid w:val="00B10A88"/>
    <w:rsid w:val="00B26E85"/>
    <w:rsid w:val="00B43418"/>
    <w:rsid w:val="00B544FB"/>
    <w:rsid w:val="00B6632F"/>
    <w:rsid w:val="00B71AF0"/>
    <w:rsid w:val="00B74120"/>
    <w:rsid w:val="00BA3B9C"/>
    <w:rsid w:val="00BB17EB"/>
    <w:rsid w:val="00BC38DB"/>
    <w:rsid w:val="00BD0950"/>
    <w:rsid w:val="00BE1730"/>
    <w:rsid w:val="00BE374B"/>
    <w:rsid w:val="00C0134D"/>
    <w:rsid w:val="00C16C47"/>
    <w:rsid w:val="00C32F3A"/>
    <w:rsid w:val="00C42589"/>
    <w:rsid w:val="00C4486A"/>
    <w:rsid w:val="00C44E53"/>
    <w:rsid w:val="00C52BE9"/>
    <w:rsid w:val="00C71200"/>
    <w:rsid w:val="00C860E8"/>
    <w:rsid w:val="00C95551"/>
    <w:rsid w:val="00C9772A"/>
    <w:rsid w:val="00CB2949"/>
    <w:rsid w:val="00CC0910"/>
    <w:rsid w:val="00CF0298"/>
    <w:rsid w:val="00CF5205"/>
    <w:rsid w:val="00D005FA"/>
    <w:rsid w:val="00D03D5E"/>
    <w:rsid w:val="00D43909"/>
    <w:rsid w:val="00D54C70"/>
    <w:rsid w:val="00D605DB"/>
    <w:rsid w:val="00D8279E"/>
    <w:rsid w:val="00D9659C"/>
    <w:rsid w:val="00DA642B"/>
    <w:rsid w:val="00DC797C"/>
    <w:rsid w:val="00DF2FCD"/>
    <w:rsid w:val="00E15B26"/>
    <w:rsid w:val="00E23418"/>
    <w:rsid w:val="00E31250"/>
    <w:rsid w:val="00E32662"/>
    <w:rsid w:val="00E50BFB"/>
    <w:rsid w:val="00E73D31"/>
    <w:rsid w:val="00E74BC4"/>
    <w:rsid w:val="00E94D93"/>
    <w:rsid w:val="00EA1E22"/>
    <w:rsid w:val="00EC009B"/>
    <w:rsid w:val="00ED5843"/>
    <w:rsid w:val="00EE4EE2"/>
    <w:rsid w:val="00F077A5"/>
    <w:rsid w:val="00F23607"/>
    <w:rsid w:val="00F3497D"/>
    <w:rsid w:val="00F52642"/>
    <w:rsid w:val="00F579FB"/>
    <w:rsid w:val="00F61BDE"/>
    <w:rsid w:val="00F63FA0"/>
    <w:rsid w:val="00F71A59"/>
    <w:rsid w:val="00F73972"/>
    <w:rsid w:val="00F853DC"/>
    <w:rsid w:val="00FD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38E7"/>
  <w15:chartTrackingRefBased/>
  <w15:docId w15:val="{23ECD08A-5A0B-433F-B1D0-A4BAE965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C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4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C48"/>
  </w:style>
  <w:style w:type="paragraph" w:styleId="Piedepgina">
    <w:name w:val="footer"/>
    <w:basedOn w:val="Normal"/>
    <w:link w:val="PiedepginaCar"/>
    <w:uiPriority w:val="99"/>
    <w:unhideWhenUsed/>
    <w:rsid w:val="00524C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C48"/>
  </w:style>
  <w:style w:type="table" w:styleId="Listamedia2-nfasis1">
    <w:name w:val="Medium List 2 Accent 1"/>
    <w:basedOn w:val="Tablanormal"/>
    <w:uiPriority w:val="66"/>
    <w:semiHidden/>
    <w:unhideWhenUsed/>
    <w:rsid w:val="009E55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C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4C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9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9D87-A691-477E-8AFA-68C8F820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1249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de Archivonomia</dc:creator>
  <cp:keywords/>
  <dc:description/>
  <cp:lastModifiedBy>AuxiliarArchivonomia</cp:lastModifiedBy>
  <cp:revision>6</cp:revision>
  <cp:lastPrinted>2019-01-15T18:13:00Z</cp:lastPrinted>
  <dcterms:created xsi:type="dcterms:W3CDTF">2019-01-15T18:01:00Z</dcterms:created>
  <dcterms:modified xsi:type="dcterms:W3CDTF">2019-01-28T17:43:00Z</dcterms:modified>
</cp:coreProperties>
</file>